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F0C8" w14:textId="77777777" w:rsidR="00CF4375" w:rsidRDefault="00DE4DAD" w:rsidP="00CF4375">
      <w:pPr>
        <w:spacing w:after="200" w:line="276" w:lineRule="auto"/>
      </w:pPr>
      <w:r>
        <w:rPr>
          <w:noProof/>
          <w:lang w:val="en-US" w:eastAsia="en-US"/>
        </w:rPr>
        <w:drawing>
          <wp:anchor distT="0" distB="0" distL="114300" distR="114300" simplePos="0" relativeHeight="251658240" behindDoc="0" locked="0" layoutInCell="1" allowOverlap="1" wp14:anchorId="4F7FF9CF" wp14:editId="5B24F1BC">
            <wp:simplePos x="0" y="0"/>
            <wp:positionH relativeFrom="column">
              <wp:posOffset>1126490</wp:posOffset>
            </wp:positionH>
            <wp:positionV relativeFrom="paragraph">
              <wp:posOffset>189230</wp:posOffset>
            </wp:positionV>
            <wp:extent cx="3627120" cy="3972560"/>
            <wp:effectExtent l="0" t="0" r="0" b="8890"/>
            <wp:wrapSquare wrapText="bothSides"/>
            <wp:docPr id="2" name="Picture 2" descr="C:\Users\claire\AppData\Local\Microsoft\Windows\Temporary Internet Files\Content.Word\Enable Logo Purple CMYK PNG.PNG"/>
            <wp:cNvGraphicFramePr/>
            <a:graphic xmlns:a="http://schemas.openxmlformats.org/drawingml/2006/main">
              <a:graphicData uri="http://schemas.openxmlformats.org/drawingml/2006/picture">
                <pic:pic xmlns:pic="http://schemas.openxmlformats.org/drawingml/2006/picture">
                  <pic:nvPicPr>
                    <pic:cNvPr id="2" name="Picture 2" descr="C:\Users\claire\AppData\Local\Microsoft\Windows\Temporary Internet Files\Content.Word\Enable Logo Purple CMYK PNG.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7120" cy="397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F4375" w:rsidRDefault="00CF4375" w:rsidP="00CF4375">
      <w:pPr>
        <w:spacing w:after="200" w:line="276" w:lineRule="auto"/>
      </w:pPr>
    </w:p>
    <w:p w14:paraId="0A37501D" w14:textId="77777777" w:rsidR="00CF4375" w:rsidRDefault="00CF4375" w:rsidP="00CF4375">
      <w:pPr>
        <w:spacing w:after="200" w:line="276" w:lineRule="auto"/>
      </w:pPr>
    </w:p>
    <w:p w14:paraId="5DAB6C7B" w14:textId="77777777" w:rsidR="00CF4375" w:rsidRDefault="00CF4375" w:rsidP="00CF4375">
      <w:pPr>
        <w:spacing w:after="200" w:line="276" w:lineRule="auto"/>
      </w:pPr>
    </w:p>
    <w:p w14:paraId="02EB378F" w14:textId="77777777" w:rsidR="00CF4375" w:rsidRDefault="00CF4375" w:rsidP="00CF4375">
      <w:pPr>
        <w:spacing w:after="200" w:line="276" w:lineRule="auto"/>
      </w:pPr>
    </w:p>
    <w:p w14:paraId="6A05A809" w14:textId="77777777" w:rsidR="00CF4375" w:rsidRDefault="00CF4375" w:rsidP="00CF4375">
      <w:pPr>
        <w:spacing w:after="200" w:line="276" w:lineRule="auto"/>
      </w:pPr>
    </w:p>
    <w:p w14:paraId="5A39BBE3" w14:textId="77777777" w:rsidR="00CF4375" w:rsidRDefault="00CF4375" w:rsidP="00CF4375">
      <w:pPr>
        <w:spacing w:after="200" w:line="276" w:lineRule="auto"/>
      </w:pPr>
    </w:p>
    <w:p w14:paraId="41C8F396" w14:textId="77777777" w:rsidR="00CF4375" w:rsidRDefault="00CF4375" w:rsidP="00CF4375">
      <w:pPr>
        <w:spacing w:after="200" w:line="276" w:lineRule="auto"/>
      </w:pPr>
    </w:p>
    <w:p w14:paraId="72A3D3EC" w14:textId="77777777" w:rsidR="00CF4375" w:rsidRDefault="00CF4375" w:rsidP="00CF4375">
      <w:pPr>
        <w:spacing w:after="200" w:line="276" w:lineRule="auto"/>
        <w:jc w:val="center"/>
        <w:rPr>
          <w:b/>
          <w:sz w:val="52"/>
        </w:rPr>
      </w:pPr>
    </w:p>
    <w:p w14:paraId="0D0B940D" w14:textId="77777777" w:rsidR="00CF4375" w:rsidRDefault="00CF4375" w:rsidP="00CF4375">
      <w:pPr>
        <w:spacing w:after="200" w:line="276" w:lineRule="auto"/>
        <w:jc w:val="center"/>
        <w:rPr>
          <w:b/>
          <w:sz w:val="52"/>
        </w:rPr>
      </w:pPr>
    </w:p>
    <w:p w14:paraId="0E27B00A" w14:textId="77777777" w:rsidR="00CF4375" w:rsidRPr="00CF4375" w:rsidRDefault="00CF4375" w:rsidP="00CF4375">
      <w:pPr>
        <w:spacing w:after="200" w:line="276" w:lineRule="auto"/>
        <w:jc w:val="center"/>
        <w:rPr>
          <w:b/>
          <w:sz w:val="52"/>
        </w:rPr>
      </w:pPr>
    </w:p>
    <w:p w14:paraId="60061E4C" w14:textId="77777777" w:rsidR="00630C16" w:rsidRPr="00630C16" w:rsidRDefault="00630C16" w:rsidP="00630C16">
      <w:pPr>
        <w:pStyle w:val="Default"/>
        <w:jc w:val="center"/>
        <w:rPr>
          <w:sz w:val="48"/>
          <w:szCs w:val="16"/>
        </w:rPr>
      </w:pPr>
    </w:p>
    <w:p w14:paraId="27A77499" w14:textId="019E2972" w:rsidR="00630C16" w:rsidRPr="00630C16" w:rsidRDefault="00630C16" w:rsidP="00630C16">
      <w:pPr>
        <w:pStyle w:val="Default"/>
        <w:jc w:val="center"/>
        <w:rPr>
          <w:rFonts w:ascii="Arial" w:hAnsi="Arial" w:cs="Arial"/>
          <w:color w:val="auto"/>
          <w:sz w:val="72"/>
          <w:szCs w:val="72"/>
        </w:rPr>
      </w:pPr>
      <w:r w:rsidRPr="0C1751A7">
        <w:rPr>
          <w:rFonts w:ascii="Arial" w:hAnsi="Arial" w:cs="Arial"/>
          <w:b/>
          <w:bCs/>
          <w:color w:val="auto"/>
          <w:sz w:val="72"/>
          <w:szCs w:val="72"/>
        </w:rPr>
        <w:t xml:space="preserve">Sub-Contract Management </w:t>
      </w:r>
      <w:r w:rsidR="00392D16">
        <w:rPr>
          <w:rFonts w:ascii="Arial" w:hAnsi="Arial" w:cs="Arial"/>
          <w:b/>
          <w:bCs/>
          <w:color w:val="auto"/>
          <w:sz w:val="72"/>
          <w:szCs w:val="72"/>
        </w:rPr>
        <w:t xml:space="preserve">&amp; </w:t>
      </w:r>
      <w:r w:rsidRPr="0C1751A7">
        <w:rPr>
          <w:rFonts w:ascii="Arial" w:hAnsi="Arial" w:cs="Arial"/>
          <w:b/>
          <w:bCs/>
          <w:color w:val="auto"/>
          <w:sz w:val="72"/>
          <w:szCs w:val="72"/>
        </w:rPr>
        <w:t xml:space="preserve">Fees Policy </w:t>
      </w:r>
    </w:p>
    <w:p w14:paraId="44EAFD9C" w14:textId="77777777" w:rsidR="00CF4375" w:rsidRDefault="00CF4375" w:rsidP="00CF4375">
      <w:pPr>
        <w:spacing w:after="200" w:line="276" w:lineRule="auto"/>
      </w:pPr>
    </w:p>
    <w:p w14:paraId="4B94D5A5" w14:textId="77777777" w:rsidR="00CF4375" w:rsidRDefault="00CF4375" w:rsidP="00CF4375">
      <w:pPr>
        <w:spacing w:after="200" w:line="276" w:lineRule="auto"/>
      </w:pPr>
    </w:p>
    <w:p w14:paraId="3DEEC669" w14:textId="77777777" w:rsidR="00CF4375" w:rsidRDefault="00CF4375" w:rsidP="00CF4375">
      <w:pPr>
        <w:spacing w:after="200" w:line="276" w:lineRule="auto"/>
      </w:pPr>
    </w:p>
    <w:p w14:paraId="3656B9AB" w14:textId="77777777" w:rsidR="00CF4375" w:rsidRDefault="00CF4375" w:rsidP="00CF4375">
      <w:pPr>
        <w:spacing w:after="200" w:line="276" w:lineRule="auto"/>
      </w:pPr>
    </w:p>
    <w:p w14:paraId="45FB0818" w14:textId="77777777" w:rsidR="00CF4375" w:rsidRDefault="00CF4375" w:rsidP="00CF4375">
      <w:pPr>
        <w:spacing w:after="200" w:line="276" w:lineRule="auto"/>
      </w:pPr>
    </w:p>
    <w:p w14:paraId="049F31CB" w14:textId="77777777" w:rsidR="00CF4375" w:rsidRDefault="00CF4375" w:rsidP="00CF4375">
      <w:pPr>
        <w:spacing w:after="200" w:line="276" w:lineRule="auto"/>
      </w:pPr>
    </w:p>
    <w:p w14:paraId="53128261" w14:textId="77777777" w:rsidR="00CF4375" w:rsidRDefault="00CF4375" w:rsidP="00CF4375">
      <w:pPr>
        <w:spacing w:after="200" w:line="276" w:lineRule="auto"/>
      </w:pPr>
    </w:p>
    <w:p w14:paraId="62486C05" w14:textId="77777777" w:rsidR="00CF4375" w:rsidRDefault="00CF4375" w:rsidP="00CF4375">
      <w:pPr>
        <w:spacing w:after="200" w:line="276" w:lineRule="auto"/>
      </w:pPr>
    </w:p>
    <w:p w14:paraId="4101652C" w14:textId="77777777" w:rsidR="00AC6D84" w:rsidRDefault="00AC6D84" w:rsidP="00AC6D84"/>
    <w:p w14:paraId="4B99056E" w14:textId="77777777" w:rsidR="0011334E" w:rsidRDefault="0011334E" w:rsidP="00AC6D84"/>
    <w:p w14:paraId="1299C43A" w14:textId="77777777" w:rsidR="00D246F1" w:rsidRDefault="00D246F1" w:rsidP="00AC6D84">
      <w:pPr>
        <w:rPr>
          <w:b/>
        </w:rPr>
      </w:pPr>
    </w:p>
    <w:p w14:paraId="4DDBEF00" w14:textId="77777777" w:rsidR="00D246F1" w:rsidRDefault="00D246F1" w:rsidP="00AC6D84">
      <w:pPr>
        <w:rPr>
          <w:b/>
        </w:rPr>
      </w:pPr>
    </w:p>
    <w:p w14:paraId="3461D779" w14:textId="77777777" w:rsidR="00D246F1" w:rsidRDefault="00D246F1" w:rsidP="00AC6D84">
      <w:pPr>
        <w:rPr>
          <w:b/>
        </w:rPr>
      </w:pPr>
    </w:p>
    <w:p w14:paraId="3CF2D8B6" w14:textId="77777777" w:rsidR="005069A6" w:rsidRDefault="005069A6" w:rsidP="00AC6D84">
      <w:pPr>
        <w:rPr>
          <w:b/>
        </w:rPr>
      </w:pPr>
    </w:p>
    <w:p w14:paraId="0FB78278" w14:textId="77777777" w:rsidR="005069A6" w:rsidRDefault="005069A6" w:rsidP="00AC6D84">
      <w:pPr>
        <w:rPr>
          <w:b/>
        </w:rPr>
      </w:pPr>
    </w:p>
    <w:p w14:paraId="1FC39945" w14:textId="77777777" w:rsidR="005069A6" w:rsidRDefault="005069A6" w:rsidP="00AC6D84">
      <w:pPr>
        <w:rPr>
          <w:b/>
        </w:rPr>
      </w:pPr>
    </w:p>
    <w:p w14:paraId="34CE0A41" w14:textId="77777777" w:rsidR="00DE4DAD" w:rsidRDefault="00DE4DAD" w:rsidP="00AC6D84">
      <w:pPr>
        <w:rPr>
          <w:b/>
        </w:rPr>
      </w:pPr>
    </w:p>
    <w:p w14:paraId="62EBF3C5" w14:textId="77777777" w:rsidR="00DE4DAD" w:rsidRDefault="00DE4DAD" w:rsidP="00AC6D84">
      <w:pPr>
        <w:rPr>
          <w:b/>
        </w:rPr>
      </w:pPr>
    </w:p>
    <w:p w14:paraId="6D98A12B" w14:textId="77777777" w:rsidR="00DE4DAD" w:rsidRDefault="00DE4DAD" w:rsidP="00AC6D84">
      <w:pPr>
        <w:rPr>
          <w:b/>
        </w:rPr>
      </w:pPr>
    </w:p>
    <w:p w14:paraId="1D04DBE0" w14:textId="77777777" w:rsidR="00AC6D84" w:rsidRPr="002C6EB1" w:rsidRDefault="00AC6D84" w:rsidP="00AC6D84">
      <w:pPr>
        <w:rPr>
          <w:b/>
        </w:rPr>
      </w:pPr>
      <w:r w:rsidRPr="002C6EB1">
        <w:rPr>
          <w:b/>
        </w:rPr>
        <w:t>Change History</w:t>
      </w:r>
    </w:p>
    <w:p w14:paraId="2946DB82" w14:textId="77777777" w:rsidR="00AC6D84" w:rsidRPr="002C6EB1" w:rsidRDefault="00AC6D84" w:rsidP="00AC6D84"/>
    <w:tbl>
      <w:tblPr>
        <w:tblStyle w:val="TableGrid"/>
        <w:tblW w:w="9634" w:type="dxa"/>
        <w:tblLook w:val="04A0" w:firstRow="1" w:lastRow="0" w:firstColumn="1" w:lastColumn="0" w:noHBand="0" w:noVBand="1"/>
      </w:tblPr>
      <w:tblGrid>
        <w:gridCol w:w="1304"/>
        <w:gridCol w:w="1708"/>
        <w:gridCol w:w="246"/>
        <w:gridCol w:w="1980"/>
        <w:gridCol w:w="765"/>
        <w:gridCol w:w="1665"/>
        <w:gridCol w:w="360"/>
        <w:gridCol w:w="1606"/>
      </w:tblGrid>
      <w:tr w:rsidR="005069A6" w:rsidRPr="002C6EB1" w14:paraId="68367DF9" w14:textId="77777777" w:rsidTr="0074099F">
        <w:tc>
          <w:tcPr>
            <w:tcW w:w="3012" w:type="dxa"/>
            <w:gridSpan w:val="2"/>
            <w:shd w:val="clear" w:color="auto" w:fill="D9D9D9" w:themeFill="background1" w:themeFillShade="D9"/>
          </w:tcPr>
          <w:p w14:paraId="19A2671C" w14:textId="77777777" w:rsidR="005069A6" w:rsidRPr="002C6EB1" w:rsidRDefault="005069A6" w:rsidP="005069A6">
            <w:pPr>
              <w:spacing w:before="120" w:after="120"/>
              <w:rPr>
                <w:b/>
              </w:rPr>
            </w:pPr>
            <w:r w:rsidRPr="002C6EB1">
              <w:rPr>
                <w:b/>
              </w:rPr>
              <w:t>First Published:</w:t>
            </w:r>
          </w:p>
        </w:tc>
        <w:tc>
          <w:tcPr>
            <w:tcW w:w="2226" w:type="dxa"/>
            <w:gridSpan w:val="2"/>
            <w:shd w:val="clear" w:color="auto" w:fill="D9D9D9" w:themeFill="background1" w:themeFillShade="D9"/>
          </w:tcPr>
          <w:p w14:paraId="41D26F91" w14:textId="77777777" w:rsidR="005069A6" w:rsidRPr="002C6EB1" w:rsidRDefault="005069A6" w:rsidP="005069A6">
            <w:pPr>
              <w:spacing w:before="120" w:after="120"/>
            </w:pPr>
            <w:r w:rsidRPr="002C6EB1">
              <w:t>2003</w:t>
            </w:r>
          </w:p>
        </w:tc>
        <w:tc>
          <w:tcPr>
            <w:tcW w:w="2430" w:type="dxa"/>
            <w:gridSpan w:val="2"/>
            <w:shd w:val="clear" w:color="auto" w:fill="D9D9D9" w:themeFill="background1" w:themeFillShade="D9"/>
          </w:tcPr>
          <w:p w14:paraId="784A09CA" w14:textId="77777777" w:rsidR="005069A6" w:rsidRPr="002C6EB1" w:rsidRDefault="005069A6" w:rsidP="005069A6">
            <w:pPr>
              <w:spacing w:before="120" w:after="120"/>
              <w:jc w:val="right"/>
              <w:rPr>
                <w:b/>
              </w:rPr>
            </w:pPr>
            <w:r w:rsidRPr="002C6EB1">
              <w:rPr>
                <w:b/>
              </w:rPr>
              <w:t xml:space="preserve">Originally Created by: </w:t>
            </w:r>
          </w:p>
        </w:tc>
        <w:tc>
          <w:tcPr>
            <w:tcW w:w="1966" w:type="dxa"/>
            <w:gridSpan w:val="2"/>
            <w:shd w:val="clear" w:color="auto" w:fill="D9D9D9" w:themeFill="background1" w:themeFillShade="D9"/>
          </w:tcPr>
          <w:p w14:paraId="7863AC01" w14:textId="77777777" w:rsidR="005069A6" w:rsidRPr="002C6EB1" w:rsidRDefault="005069A6" w:rsidP="005069A6">
            <w:pPr>
              <w:spacing w:before="120" w:after="120"/>
              <w:jc w:val="center"/>
            </w:pPr>
            <w:r w:rsidRPr="002C6EB1">
              <w:t>Quality Lead</w:t>
            </w:r>
          </w:p>
        </w:tc>
      </w:tr>
      <w:tr w:rsidR="005069A6" w:rsidRPr="002C6EB1" w14:paraId="40D4C65D" w14:textId="77777777" w:rsidTr="0074099F">
        <w:tc>
          <w:tcPr>
            <w:tcW w:w="3258" w:type="dxa"/>
            <w:gridSpan w:val="3"/>
            <w:shd w:val="clear" w:color="auto" w:fill="D9D9D9" w:themeFill="background1" w:themeFillShade="D9"/>
          </w:tcPr>
          <w:p w14:paraId="5C7CF658" w14:textId="77777777" w:rsidR="005069A6" w:rsidRPr="002C6EB1" w:rsidRDefault="005069A6" w:rsidP="005069A6">
            <w:pPr>
              <w:spacing w:before="120" w:after="120"/>
              <w:rPr>
                <w:b/>
              </w:rPr>
            </w:pPr>
            <w:r w:rsidRPr="002C6EB1">
              <w:rPr>
                <w:b/>
              </w:rPr>
              <w:t>Person Responsible for Policy:</w:t>
            </w:r>
          </w:p>
        </w:tc>
        <w:tc>
          <w:tcPr>
            <w:tcW w:w="6376" w:type="dxa"/>
            <w:gridSpan w:val="5"/>
            <w:shd w:val="clear" w:color="auto" w:fill="D9D9D9" w:themeFill="background1" w:themeFillShade="D9"/>
          </w:tcPr>
          <w:p w14:paraId="6D818C85" w14:textId="77777777" w:rsidR="005069A6" w:rsidRPr="002C6EB1" w:rsidRDefault="005069A6" w:rsidP="005069A6">
            <w:pPr>
              <w:spacing w:before="120" w:after="120"/>
              <w:jc w:val="center"/>
            </w:pPr>
            <w:r w:rsidRPr="002C6EB1">
              <w:t>Enable CEO</w:t>
            </w:r>
          </w:p>
        </w:tc>
      </w:tr>
      <w:tr w:rsidR="00AC6D84" w:rsidRPr="002C6EB1" w14:paraId="6DA4000B" w14:textId="77777777" w:rsidTr="0074099F">
        <w:tc>
          <w:tcPr>
            <w:tcW w:w="1304" w:type="dxa"/>
            <w:shd w:val="clear" w:color="auto" w:fill="D9D9D9" w:themeFill="background1" w:themeFillShade="D9"/>
          </w:tcPr>
          <w:p w14:paraId="2E9B9AB1" w14:textId="77777777" w:rsidR="00AC6D84" w:rsidRPr="002C6EB1" w:rsidRDefault="00AC6D84" w:rsidP="008111E6">
            <w:pPr>
              <w:jc w:val="center"/>
              <w:rPr>
                <w:b/>
              </w:rPr>
            </w:pPr>
            <w:r w:rsidRPr="002C6EB1">
              <w:rPr>
                <w:b/>
              </w:rPr>
              <w:t>Date of Review</w:t>
            </w:r>
          </w:p>
        </w:tc>
        <w:tc>
          <w:tcPr>
            <w:tcW w:w="1708" w:type="dxa"/>
            <w:shd w:val="clear" w:color="auto" w:fill="D9D9D9" w:themeFill="background1" w:themeFillShade="D9"/>
          </w:tcPr>
          <w:p w14:paraId="214437C8" w14:textId="77777777" w:rsidR="00AC6D84" w:rsidRPr="002C6EB1" w:rsidRDefault="00AC6D84" w:rsidP="008111E6">
            <w:pPr>
              <w:jc w:val="center"/>
              <w:rPr>
                <w:b/>
              </w:rPr>
            </w:pPr>
            <w:r w:rsidRPr="002C6EB1">
              <w:rPr>
                <w:b/>
              </w:rPr>
              <w:t>Reviewed by</w:t>
            </w:r>
          </w:p>
        </w:tc>
        <w:tc>
          <w:tcPr>
            <w:tcW w:w="2991" w:type="dxa"/>
            <w:gridSpan w:val="3"/>
            <w:shd w:val="clear" w:color="auto" w:fill="D9D9D9" w:themeFill="background1" w:themeFillShade="D9"/>
          </w:tcPr>
          <w:p w14:paraId="7773B12A" w14:textId="77777777" w:rsidR="00AC6D84" w:rsidRPr="002C6EB1" w:rsidRDefault="00AC6D84" w:rsidP="008111E6">
            <w:pPr>
              <w:jc w:val="center"/>
              <w:rPr>
                <w:b/>
              </w:rPr>
            </w:pPr>
            <w:r w:rsidRPr="002C6EB1">
              <w:rPr>
                <w:b/>
              </w:rPr>
              <w:t>Policy changes</w:t>
            </w:r>
          </w:p>
        </w:tc>
        <w:tc>
          <w:tcPr>
            <w:tcW w:w="2025" w:type="dxa"/>
            <w:gridSpan w:val="2"/>
            <w:shd w:val="clear" w:color="auto" w:fill="D9D9D9" w:themeFill="background1" w:themeFillShade="D9"/>
          </w:tcPr>
          <w:p w14:paraId="344E8418" w14:textId="77777777" w:rsidR="00AC6D84" w:rsidRPr="002C6EB1" w:rsidRDefault="00AC6D84" w:rsidP="008111E6">
            <w:pPr>
              <w:jc w:val="center"/>
              <w:rPr>
                <w:b/>
              </w:rPr>
            </w:pPr>
            <w:r w:rsidRPr="002C6EB1">
              <w:rPr>
                <w:b/>
              </w:rPr>
              <w:t>Approved by</w:t>
            </w:r>
          </w:p>
        </w:tc>
        <w:tc>
          <w:tcPr>
            <w:tcW w:w="1606" w:type="dxa"/>
            <w:shd w:val="clear" w:color="auto" w:fill="D9D9D9" w:themeFill="background1" w:themeFillShade="D9"/>
          </w:tcPr>
          <w:p w14:paraId="610FA070" w14:textId="77777777" w:rsidR="00AC6D84" w:rsidRPr="002C6EB1" w:rsidRDefault="005069A6" w:rsidP="008111E6">
            <w:pPr>
              <w:jc w:val="center"/>
              <w:rPr>
                <w:b/>
              </w:rPr>
            </w:pPr>
            <w:r w:rsidRPr="002C6EB1">
              <w:rPr>
                <w:b/>
              </w:rPr>
              <w:t>Date of next review</w:t>
            </w:r>
          </w:p>
        </w:tc>
      </w:tr>
      <w:tr w:rsidR="00687E9D" w:rsidRPr="002C6EB1" w14:paraId="37BD5831" w14:textId="77777777" w:rsidTr="0074099F">
        <w:tc>
          <w:tcPr>
            <w:tcW w:w="1304" w:type="dxa"/>
          </w:tcPr>
          <w:p w14:paraId="79A0B252" w14:textId="77777777" w:rsidR="00687E9D" w:rsidRPr="002C6EB1" w:rsidRDefault="00687E9D" w:rsidP="008111E6">
            <w:r w:rsidRPr="002C6EB1">
              <w:t>5 July 2018</w:t>
            </w:r>
          </w:p>
        </w:tc>
        <w:tc>
          <w:tcPr>
            <w:tcW w:w="1708" w:type="dxa"/>
          </w:tcPr>
          <w:p w14:paraId="27122AEF" w14:textId="77777777" w:rsidR="00687E9D" w:rsidRPr="002C6EB1" w:rsidRDefault="00687E9D" w:rsidP="008111E6">
            <w:r w:rsidRPr="002C6EB1">
              <w:t>Standards Officer</w:t>
            </w:r>
          </w:p>
        </w:tc>
        <w:tc>
          <w:tcPr>
            <w:tcW w:w="2991" w:type="dxa"/>
            <w:gridSpan w:val="3"/>
          </w:tcPr>
          <w:p w14:paraId="23DEEAAA" w14:textId="77777777" w:rsidR="00687E9D" w:rsidRPr="002C6EB1" w:rsidRDefault="00630C16" w:rsidP="008111E6">
            <w:r w:rsidRPr="002C6EB1">
              <w:t xml:space="preserve">Slight changing to wording </w:t>
            </w:r>
            <w:r w:rsidR="00687E9D" w:rsidRPr="002C6EB1">
              <w:t xml:space="preserve"> </w:t>
            </w:r>
          </w:p>
        </w:tc>
        <w:tc>
          <w:tcPr>
            <w:tcW w:w="2025" w:type="dxa"/>
            <w:gridSpan w:val="2"/>
          </w:tcPr>
          <w:p w14:paraId="0EF8E534" w14:textId="77777777" w:rsidR="00687E9D" w:rsidRPr="002C6EB1" w:rsidRDefault="00687E9D" w:rsidP="008111E6">
            <w:r w:rsidRPr="002C6EB1">
              <w:t xml:space="preserve">Operations Manager </w:t>
            </w:r>
          </w:p>
        </w:tc>
        <w:tc>
          <w:tcPr>
            <w:tcW w:w="1606" w:type="dxa"/>
          </w:tcPr>
          <w:p w14:paraId="14FA1EA7" w14:textId="77777777" w:rsidR="00687E9D" w:rsidRPr="002C6EB1" w:rsidRDefault="00687E9D" w:rsidP="008111E6">
            <w:r w:rsidRPr="002C6EB1">
              <w:t>23 July 2018</w:t>
            </w:r>
          </w:p>
        </w:tc>
      </w:tr>
      <w:tr w:rsidR="00700E51" w:rsidRPr="002C6EB1" w14:paraId="302D37B3" w14:textId="77777777" w:rsidTr="0074099F">
        <w:tc>
          <w:tcPr>
            <w:tcW w:w="1304" w:type="dxa"/>
          </w:tcPr>
          <w:p w14:paraId="0A480300" w14:textId="77777777" w:rsidR="00700E51" w:rsidRPr="002C6EB1" w:rsidRDefault="00527946" w:rsidP="008111E6">
            <w:r w:rsidRPr="002C6EB1">
              <w:t>13/09/</w:t>
            </w:r>
            <w:r w:rsidR="00700E51" w:rsidRPr="002C6EB1">
              <w:t>2018</w:t>
            </w:r>
          </w:p>
        </w:tc>
        <w:tc>
          <w:tcPr>
            <w:tcW w:w="1708" w:type="dxa"/>
          </w:tcPr>
          <w:p w14:paraId="796E885D" w14:textId="77777777" w:rsidR="00700E51" w:rsidRPr="002C6EB1" w:rsidRDefault="00527946" w:rsidP="008111E6">
            <w:r w:rsidRPr="002C6EB1">
              <w:t>CEO</w:t>
            </w:r>
          </w:p>
        </w:tc>
        <w:tc>
          <w:tcPr>
            <w:tcW w:w="2991" w:type="dxa"/>
            <w:gridSpan w:val="3"/>
          </w:tcPr>
          <w:p w14:paraId="23256F4B" w14:textId="77777777" w:rsidR="00700E51" w:rsidRPr="002C6EB1" w:rsidRDefault="00527946" w:rsidP="008111E6">
            <w:r w:rsidRPr="002C6EB1">
              <w:t>Addition of Headers and Footnote</w:t>
            </w:r>
          </w:p>
        </w:tc>
        <w:tc>
          <w:tcPr>
            <w:tcW w:w="2025" w:type="dxa"/>
            <w:gridSpan w:val="2"/>
          </w:tcPr>
          <w:p w14:paraId="66B6CB9F" w14:textId="77777777" w:rsidR="00700E51" w:rsidRPr="002C6EB1" w:rsidRDefault="00527946" w:rsidP="008111E6">
            <w:r w:rsidRPr="002C6EB1">
              <w:t xml:space="preserve">Board of Trustees </w:t>
            </w:r>
          </w:p>
        </w:tc>
        <w:tc>
          <w:tcPr>
            <w:tcW w:w="1606" w:type="dxa"/>
          </w:tcPr>
          <w:p w14:paraId="1049C8C1" w14:textId="77777777" w:rsidR="00700E51" w:rsidRPr="002C6EB1" w:rsidRDefault="00527946" w:rsidP="008111E6">
            <w:r w:rsidRPr="002C6EB1">
              <w:t>10/09/2019</w:t>
            </w:r>
          </w:p>
        </w:tc>
      </w:tr>
      <w:tr w:rsidR="0C1751A7" w:rsidRPr="002C6EB1" w14:paraId="19B2EC88" w14:textId="77777777" w:rsidTr="0074099F">
        <w:tc>
          <w:tcPr>
            <w:tcW w:w="1304" w:type="dxa"/>
          </w:tcPr>
          <w:p w14:paraId="72906154" w14:textId="1AD9F3A2" w:rsidR="355B08A1" w:rsidRPr="002C6EB1" w:rsidRDefault="00274564" w:rsidP="0C1751A7">
            <w:r>
              <w:t>01</w:t>
            </w:r>
            <w:r w:rsidR="355B08A1" w:rsidRPr="002C6EB1">
              <w:t>/</w:t>
            </w:r>
            <w:r>
              <w:t>10</w:t>
            </w:r>
            <w:r w:rsidR="355B08A1" w:rsidRPr="002C6EB1">
              <w:t>/2020</w:t>
            </w:r>
          </w:p>
        </w:tc>
        <w:tc>
          <w:tcPr>
            <w:tcW w:w="1708" w:type="dxa"/>
          </w:tcPr>
          <w:p w14:paraId="5FE22507" w14:textId="437C6CC9" w:rsidR="355B08A1" w:rsidRPr="002C6EB1" w:rsidRDefault="355B08A1" w:rsidP="0C1751A7">
            <w:r w:rsidRPr="002C6EB1">
              <w:t>CEO</w:t>
            </w:r>
          </w:p>
        </w:tc>
        <w:tc>
          <w:tcPr>
            <w:tcW w:w="2991" w:type="dxa"/>
            <w:gridSpan w:val="3"/>
          </w:tcPr>
          <w:p w14:paraId="4ECB2749" w14:textId="159C332F" w:rsidR="355B08A1" w:rsidRPr="002C6EB1" w:rsidRDefault="00AC6A44" w:rsidP="0C1751A7">
            <w:r>
              <w:t xml:space="preserve">Wording </w:t>
            </w:r>
            <w:r w:rsidR="00A00B81">
              <w:t>added</w:t>
            </w:r>
            <w:r>
              <w:t xml:space="preserve"> for </w:t>
            </w:r>
            <w:r w:rsidR="00A00B81">
              <w:t>Lockdown</w:t>
            </w:r>
          </w:p>
        </w:tc>
        <w:tc>
          <w:tcPr>
            <w:tcW w:w="2025" w:type="dxa"/>
            <w:gridSpan w:val="2"/>
          </w:tcPr>
          <w:p w14:paraId="54014DF8" w14:textId="08166A81" w:rsidR="355B08A1" w:rsidRPr="002C6EB1" w:rsidRDefault="355B08A1" w:rsidP="0C1751A7">
            <w:r w:rsidRPr="002C6EB1">
              <w:t>SMT</w:t>
            </w:r>
          </w:p>
        </w:tc>
        <w:tc>
          <w:tcPr>
            <w:tcW w:w="1606" w:type="dxa"/>
          </w:tcPr>
          <w:p w14:paraId="7BBD1E80" w14:textId="642DCD85" w:rsidR="355B08A1" w:rsidRPr="002C6EB1" w:rsidRDefault="00AC6A44" w:rsidP="0C1751A7">
            <w:r>
              <w:t>01/10</w:t>
            </w:r>
            <w:r w:rsidR="355B08A1" w:rsidRPr="002C6EB1">
              <w:t>/2021</w:t>
            </w:r>
          </w:p>
        </w:tc>
      </w:tr>
      <w:tr w:rsidR="00462CE9" w:rsidRPr="002C6EB1" w14:paraId="0A399D0F" w14:textId="77777777" w:rsidTr="0074099F">
        <w:tc>
          <w:tcPr>
            <w:tcW w:w="1304" w:type="dxa"/>
          </w:tcPr>
          <w:p w14:paraId="4E400F66" w14:textId="0F42722F" w:rsidR="00462CE9" w:rsidRDefault="00462CE9" w:rsidP="00462CE9">
            <w:r>
              <w:t>01</w:t>
            </w:r>
            <w:r w:rsidRPr="002C6EB1">
              <w:t>/</w:t>
            </w:r>
            <w:r w:rsidR="005575CA">
              <w:t>09</w:t>
            </w:r>
            <w:r w:rsidRPr="002C6EB1">
              <w:t>/202</w:t>
            </w:r>
            <w:r w:rsidR="005575CA">
              <w:t>1</w:t>
            </w:r>
          </w:p>
        </w:tc>
        <w:tc>
          <w:tcPr>
            <w:tcW w:w="1708" w:type="dxa"/>
          </w:tcPr>
          <w:p w14:paraId="0A9B9A3E" w14:textId="01C45EB7" w:rsidR="00462CE9" w:rsidRPr="002C6EB1" w:rsidRDefault="00462CE9" w:rsidP="00462CE9">
            <w:r w:rsidRPr="002C6EB1">
              <w:t>CEO</w:t>
            </w:r>
          </w:p>
        </w:tc>
        <w:tc>
          <w:tcPr>
            <w:tcW w:w="2991" w:type="dxa"/>
            <w:gridSpan w:val="3"/>
          </w:tcPr>
          <w:p w14:paraId="0E78FC5E" w14:textId="65E746C1" w:rsidR="00462CE9" w:rsidRDefault="0074099F" w:rsidP="00462CE9">
            <w:r>
              <w:t>Review</w:t>
            </w:r>
          </w:p>
        </w:tc>
        <w:tc>
          <w:tcPr>
            <w:tcW w:w="2025" w:type="dxa"/>
            <w:gridSpan w:val="2"/>
          </w:tcPr>
          <w:p w14:paraId="52764C55" w14:textId="1811BA51" w:rsidR="00462CE9" w:rsidRPr="002C6EB1" w:rsidRDefault="00E0410F" w:rsidP="00462CE9">
            <w:r>
              <w:t>Board of Trustees</w:t>
            </w:r>
          </w:p>
        </w:tc>
        <w:tc>
          <w:tcPr>
            <w:tcW w:w="1606" w:type="dxa"/>
          </w:tcPr>
          <w:p w14:paraId="1F5B3CD6" w14:textId="4C5B1B83" w:rsidR="00462CE9" w:rsidRDefault="00462CE9" w:rsidP="00462CE9">
            <w:r>
              <w:t>01/</w:t>
            </w:r>
            <w:r w:rsidR="005575CA">
              <w:t>09</w:t>
            </w:r>
            <w:r w:rsidRPr="002C6EB1">
              <w:t>/202</w:t>
            </w:r>
            <w:r w:rsidR="005575CA">
              <w:t>2</w:t>
            </w:r>
          </w:p>
        </w:tc>
      </w:tr>
      <w:tr w:rsidR="008D1303" w:rsidRPr="002C6EB1" w14:paraId="0EA26904" w14:textId="77777777" w:rsidTr="0074099F">
        <w:tc>
          <w:tcPr>
            <w:tcW w:w="1304" w:type="dxa"/>
          </w:tcPr>
          <w:p w14:paraId="065B7997" w14:textId="76B78BF9" w:rsidR="008D1303" w:rsidRDefault="008D1303" w:rsidP="00462CE9">
            <w:r>
              <w:t>07/09/2022</w:t>
            </w:r>
          </w:p>
        </w:tc>
        <w:tc>
          <w:tcPr>
            <w:tcW w:w="1708" w:type="dxa"/>
          </w:tcPr>
          <w:p w14:paraId="7E5453E5" w14:textId="5CEB77AB" w:rsidR="008D1303" w:rsidRPr="002C6EB1" w:rsidRDefault="008D1303" w:rsidP="00462CE9">
            <w:r>
              <w:t>CEO</w:t>
            </w:r>
          </w:p>
        </w:tc>
        <w:tc>
          <w:tcPr>
            <w:tcW w:w="2991" w:type="dxa"/>
            <w:gridSpan w:val="3"/>
          </w:tcPr>
          <w:p w14:paraId="04236152" w14:textId="323B60D5" w:rsidR="008D1303" w:rsidRDefault="000913D9" w:rsidP="00462CE9">
            <w:r>
              <w:t xml:space="preserve">Minor formatting </w:t>
            </w:r>
          </w:p>
        </w:tc>
        <w:tc>
          <w:tcPr>
            <w:tcW w:w="2025" w:type="dxa"/>
            <w:gridSpan w:val="2"/>
          </w:tcPr>
          <w:p w14:paraId="5C593445" w14:textId="27C7FD9D" w:rsidR="008D1303" w:rsidRDefault="008D1303" w:rsidP="00462CE9">
            <w:r>
              <w:t>SMT</w:t>
            </w:r>
          </w:p>
        </w:tc>
        <w:tc>
          <w:tcPr>
            <w:tcW w:w="1606" w:type="dxa"/>
          </w:tcPr>
          <w:p w14:paraId="65371EB8" w14:textId="786CBCE3" w:rsidR="008D1303" w:rsidRDefault="008D1303" w:rsidP="00462CE9">
            <w:r>
              <w:t>07/09/2023</w:t>
            </w:r>
          </w:p>
        </w:tc>
      </w:tr>
    </w:tbl>
    <w:p w14:paraId="5997CC1D" w14:textId="77777777" w:rsidR="00652A8D" w:rsidRPr="002C6EB1" w:rsidRDefault="00652A8D" w:rsidP="00652A8D"/>
    <w:p w14:paraId="110FFD37" w14:textId="77777777" w:rsidR="00630C16" w:rsidRPr="002C6EB1" w:rsidRDefault="00630C16" w:rsidP="00652A8D"/>
    <w:p w14:paraId="6B699379" w14:textId="77777777" w:rsidR="00630C16" w:rsidRPr="002C6EB1" w:rsidRDefault="00630C16" w:rsidP="006D54A8">
      <w:pPr>
        <w:pStyle w:val="Default"/>
        <w:jc w:val="both"/>
        <w:rPr>
          <w:rFonts w:ascii="Arial" w:hAnsi="Arial" w:cs="Arial"/>
        </w:rPr>
      </w:pPr>
    </w:p>
    <w:p w14:paraId="1AED9B97"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1. Background </w:t>
      </w:r>
    </w:p>
    <w:p w14:paraId="3FE9F23F" w14:textId="77777777" w:rsidR="00630C16" w:rsidRPr="002C6EB1" w:rsidRDefault="00630C16" w:rsidP="006D54A8">
      <w:pPr>
        <w:pStyle w:val="Default"/>
        <w:jc w:val="both"/>
        <w:rPr>
          <w:rFonts w:ascii="Arial" w:hAnsi="Arial" w:cs="Arial"/>
          <w:color w:val="auto"/>
          <w:sz w:val="20"/>
          <w:szCs w:val="20"/>
        </w:rPr>
      </w:pPr>
    </w:p>
    <w:p w14:paraId="11A7AC97"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Enable was established as a learning and skills consortium in 2003 and currently has 200 registered members. Approximately 25 of these are providing activities via Enable contracts that are funded from the Education and Skills Funding Agency (ESFA). Enable is a consortium based on a ‘hub and spoke’ design. All members of the consortium are partners with Enable, which is vital for them to access and deliver contracts. Membership of Enable is free and open to all voluntary and community sector organisations with an interest in the provision of learning and skills. </w:t>
      </w:r>
    </w:p>
    <w:p w14:paraId="7AEC3869"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This policy describes the fundamental principles by which Enable will implement a fair, open, transparent and robust selection process for potential sub-contractors, taking into account all relevant criteria to ensure compliance. </w:t>
      </w:r>
    </w:p>
    <w:p w14:paraId="1F72F646" w14:textId="77777777" w:rsidR="00630C16" w:rsidRPr="002C6EB1" w:rsidRDefault="00630C16" w:rsidP="006D54A8">
      <w:pPr>
        <w:pStyle w:val="Default"/>
        <w:jc w:val="both"/>
        <w:rPr>
          <w:rFonts w:ascii="Arial" w:hAnsi="Arial" w:cs="Arial"/>
          <w:color w:val="auto"/>
          <w:sz w:val="20"/>
          <w:szCs w:val="20"/>
        </w:rPr>
      </w:pPr>
    </w:p>
    <w:p w14:paraId="5B1F0B55"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2. Policy </w:t>
      </w:r>
    </w:p>
    <w:p w14:paraId="08CE6F91" w14:textId="77777777" w:rsidR="00630C16" w:rsidRPr="002C6EB1" w:rsidRDefault="00630C16" w:rsidP="006D54A8">
      <w:pPr>
        <w:pStyle w:val="Default"/>
        <w:jc w:val="both"/>
        <w:rPr>
          <w:rFonts w:ascii="Arial" w:hAnsi="Arial" w:cs="Arial"/>
          <w:color w:val="auto"/>
          <w:sz w:val="20"/>
          <w:szCs w:val="20"/>
        </w:rPr>
      </w:pPr>
    </w:p>
    <w:p w14:paraId="1EF28A05" w14:textId="0ABA076E"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The objectives</w:t>
      </w:r>
      <w:r w:rsidR="000C2A1A" w:rsidRPr="001B41EE">
        <w:rPr>
          <w:rFonts w:ascii="Arial" w:hAnsi="Arial" w:cs="Arial"/>
          <w:color w:val="auto"/>
          <w:sz w:val="20"/>
          <w:szCs w:val="20"/>
        </w:rPr>
        <w:t xml:space="preserve"> of Enable</w:t>
      </w:r>
      <w:r w:rsidRPr="002C6EB1">
        <w:rPr>
          <w:rFonts w:ascii="Arial" w:hAnsi="Arial" w:cs="Arial"/>
          <w:color w:val="auto"/>
          <w:sz w:val="20"/>
          <w:szCs w:val="20"/>
        </w:rPr>
        <w:t xml:space="preserve"> for the year ending 31 July 20</w:t>
      </w:r>
      <w:r w:rsidR="00B33A32">
        <w:rPr>
          <w:rFonts w:ascii="Arial" w:hAnsi="Arial" w:cs="Arial"/>
          <w:color w:val="auto"/>
          <w:sz w:val="20"/>
          <w:szCs w:val="20"/>
        </w:rPr>
        <w:t>2</w:t>
      </w:r>
      <w:r w:rsidR="008D1303">
        <w:rPr>
          <w:rFonts w:ascii="Arial" w:hAnsi="Arial" w:cs="Arial"/>
          <w:color w:val="auto"/>
          <w:sz w:val="20"/>
          <w:szCs w:val="20"/>
        </w:rPr>
        <w:t>3</w:t>
      </w:r>
      <w:r w:rsidRPr="002C6EB1">
        <w:rPr>
          <w:rFonts w:ascii="Arial" w:hAnsi="Arial" w:cs="Arial"/>
          <w:color w:val="auto"/>
          <w:sz w:val="20"/>
          <w:szCs w:val="20"/>
        </w:rPr>
        <w:t xml:space="preserve"> are: </w:t>
      </w:r>
      <w:r w:rsidR="000C2A1A" w:rsidRPr="002C6EB1">
        <w:rPr>
          <w:rFonts w:ascii="Arial" w:hAnsi="Arial" w:cs="Arial"/>
          <w:color w:val="auto"/>
          <w:sz w:val="20"/>
          <w:szCs w:val="20"/>
        </w:rPr>
        <w:t xml:space="preserve">  </w:t>
      </w:r>
    </w:p>
    <w:p w14:paraId="61CDCEAD" w14:textId="77777777" w:rsidR="00630C16" w:rsidRPr="002C6EB1" w:rsidRDefault="00630C16" w:rsidP="006D54A8">
      <w:pPr>
        <w:pStyle w:val="Default"/>
        <w:jc w:val="both"/>
        <w:rPr>
          <w:rFonts w:ascii="Arial" w:hAnsi="Arial" w:cs="Arial"/>
          <w:color w:val="auto"/>
          <w:sz w:val="20"/>
          <w:szCs w:val="20"/>
        </w:rPr>
      </w:pPr>
    </w:p>
    <w:p w14:paraId="2660494A" w14:textId="232EB825" w:rsidR="00630C16" w:rsidRPr="002C6EB1" w:rsidRDefault="00630C16" w:rsidP="008D1303">
      <w:pPr>
        <w:pStyle w:val="Default"/>
        <w:numPr>
          <w:ilvl w:val="0"/>
          <w:numId w:val="12"/>
        </w:numPr>
        <w:spacing w:after="24"/>
        <w:jc w:val="both"/>
        <w:rPr>
          <w:rFonts w:ascii="Arial" w:hAnsi="Arial" w:cs="Arial"/>
          <w:color w:val="auto"/>
          <w:sz w:val="20"/>
          <w:szCs w:val="20"/>
        </w:rPr>
      </w:pPr>
      <w:r w:rsidRPr="002C6EB1">
        <w:rPr>
          <w:rFonts w:ascii="Arial" w:hAnsi="Arial" w:cs="Arial"/>
          <w:color w:val="auto"/>
          <w:sz w:val="20"/>
          <w:szCs w:val="20"/>
        </w:rPr>
        <w:t xml:space="preserve">To engage with partners who can demonstrate a track record of strong success rates. </w:t>
      </w:r>
    </w:p>
    <w:p w14:paraId="261E1E05" w14:textId="1E01ACAB" w:rsidR="00630C16" w:rsidRPr="002C6EB1" w:rsidRDefault="00630C16" w:rsidP="008D1303">
      <w:pPr>
        <w:pStyle w:val="Default"/>
        <w:numPr>
          <w:ilvl w:val="0"/>
          <w:numId w:val="12"/>
        </w:numPr>
        <w:spacing w:after="24"/>
        <w:jc w:val="both"/>
        <w:rPr>
          <w:rFonts w:ascii="Arial" w:hAnsi="Arial" w:cs="Arial"/>
          <w:color w:val="auto"/>
          <w:sz w:val="20"/>
          <w:szCs w:val="20"/>
        </w:rPr>
      </w:pPr>
      <w:r w:rsidRPr="002C6EB1">
        <w:rPr>
          <w:rFonts w:ascii="Arial" w:hAnsi="Arial" w:cs="Arial"/>
          <w:color w:val="auto"/>
          <w:sz w:val="20"/>
          <w:szCs w:val="20"/>
        </w:rPr>
        <w:t xml:space="preserve">To engage with partners who can demonstrate effective procedures for ensuring full compliance against ESFA funding rules. </w:t>
      </w:r>
    </w:p>
    <w:p w14:paraId="775015FB" w14:textId="4149E840" w:rsidR="00630C16" w:rsidRPr="002A1915" w:rsidRDefault="00630C16" w:rsidP="008D1303">
      <w:pPr>
        <w:pStyle w:val="Default"/>
        <w:numPr>
          <w:ilvl w:val="0"/>
          <w:numId w:val="12"/>
        </w:numPr>
        <w:spacing w:after="24"/>
        <w:jc w:val="both"/>
        <w:rPr>
          <w:rFonts w:ascii="Arial" w:hAnsi="Arial" w:cs="Arial"/>
          <w:color w:val="auto"/>
          <w:sz w:val="20"/>
          <w:szCs w:val="20"/>
        </w:rPr>
      </w:pPr>
      <w:r w:rsidRPr="002C6EB1">
        <w:rPr>
          <w:rFonts w:ascii="Arial" w:hAnsi="Arial" w:cs="Arial"/>
          <w:color w:val="auto"/>
          <w:sz w:val="20"/>
          <w:szCs w:val="20"/>
        </w:rPr>
        <w:t xml:space="preserve">To engage with partners who are actively focused on improving the employability of adult learners and </w:t>
      </w:r>
      <w:r w:rsidRPr="002A1915">
        <w:rPr>
          <w:rFonts w:ascii="Arial" w:hAnsi="Arial" w:cs="Arial"/>
          <w:color w:val="auto"/>
          <w:sz w:val="20"/>
          <w:szCs w:val="20"/>
        </w:rPr>
        <w:t xml:space="preserve">meeting ESFA funding criteria. </w:t>
      </w:r>
    </w:p>
    <w:p w14:paraId="4A1933BF" w14:textId="4B5FA7B5" w:rsidR="00630C16" w:rsidRPr="002C6EB1" w:rsidRDefault="00630C16" w:rsidP="008D1303">
      <w:pPr>
        <w:pStyle w:val="Default"/>
        <w:numPr>
          <w:ilvl w:val="0"/>
          <w:numId w:val="12"/>
        </w:numPr>
        <w:spacing w:after="24"/>
        <w:jc w:val="both"/>
        <w:rPr>
          <w:rFonts w:ascii="Arial" w:hAnsi="Arial" w:cs="Arial"/>
          <w:color w:val="auto"/>
          <w:sz w:val="20"/>
          <w:szCs w:val="20"/>
        </w:rPr>
      </w:pPr>
      <w:r w:rsidRPr="002A1915">
        <w:rPr>
          <w:rFonts w:ascii="Arial" w:hAnsi="Arial" w:cs="Arial"/>
          <w:color w:val="auto"/>
          <w:sz w:val="20"/>
          <w:szCs w:val="20"/>
        </w:rPr>
        <w:t xml:space="preserve">To engage with partners who can meet thresholds for sub-contracting established through the Enable Due Diligence process </w:t>
      </w:r>
      <w:r w:rsidR="00F33CDD" w:rsidRPr="002A1915">
        <w:rPr>
          <w:rFonts w:ascii="Arial" w:hAnsi="Arial" w:cs="Arial"/>
          <w:color w:val="auto"/>
          <w:sz w:val="20"/>
          <w:szCs w:val="20"/>
        </w:rPr>
        <w:t xml:space="preserve">- </w:t>
      </w:r>
      <w:r w:rsidR="00C034EF" w:rsidRPr="00B20D1B">
        <w:rPr>
          <w:rFonts w:ascii="Arial" w:hAnsi="Arial" w:cs="Arial"/>
          <w:color w:val="auto"/>
          <w:sz w:val="20"/>
          <w:szCs w:val="20"/>
        </w:rPr>
        <w:t>to ensure they can meet the criteria laid out in section</w:t>
      </w:r>
      <w:r w:rsidR="00B20D1B" w:rsidRPr="00B20D1B">
        <w:rPr>
          <w:rFonts w:ascii="Arial" w:hAnsi="Arial" w:cs="Arial"/>
          <w:color w:val="auto"/>
          <w:sz w:val="20"/>
          <w:szCs w:val="20"/>
        </w:rPr>
        <w:t xml:space="preserve"> 3</w:t>
      </w:r>
    </w:p>
    <w:p w14:paraId="77B45B7A" w14:textId="2FB19708" w:rsidR="00630C16" w:rsidRPr="002C6EB1" w:rsidRDefault="00630C16" w:rsidP="008D1303">
      <w:pPr>
        <w:pStyle w:val="Default"/>
        <w:numPr>
          <w:ilvl w:val="0"/>
          <w:numId w:val="12"/>
        </w:numPr>
        <w:jc w:val="both"/>
        <w:rPr>
          <w:rFonts w:ascii="Arial" w:hAnsi="Arial" w:cs="Arial"/>
          <w:color w:val="auto"/>
          <w:sz w:val="20"/>
          <w:szCs w:val="20"/>
        </w:rPr>
      </w:pPr>
      <w:r w:rsidRPr="002C6EB1">
        <w:rPr>
          <w:rFonts w:ascii="Arial" w:hAnsi="Arial" w:cs="Arial"/>
          <w:color w:val="auto"/>
          <w:sz w:val="20"/>
          <w:szCs w:val="20"/>
        </w:rPr>
        <w:t xml:space="preserve">To build the capacity of </w:t>
      </w:r>
      <w:r w:rsidR="008D1303" w:rsidRPr="002C6EB1">
        <w:rPr>
          <w:rFonts w:ascii="Arial" w:hAnsi="Arial" w:cs="Arial"/>
          <w:color w:val="auto"/>
          <w:sz w:val="20"/>
          <w:szCs w:val="20"/>
        </w:rPr>
        <w:t>community-based</w:t>
      </w:r>
      <w:r w:rsidRPr="002C6EB1">
        <w:rPr>
          <w:rFonts w:ascii="Arial" w:hAnsi="Arial" w:cs="Arial"/>
          <w:color w:val="auto"/>
          <w:sz w:val="20"/>
          <w:szCs w:val="20"/>
        </w:rPr>
        <w:t xml:space="preserve"> provision within the most disadvantaged communities </w:t>
      </w:r>
    </w:p>
    <w:p w14:paraId="6BB9E253" w14:textId="77777777" w:rsidR="00630C16" w:rsidRPr="002C6EB1" w:rsidRDefault="00630C16" w:rsidP="006D54A8">
      <w:pPr>
        <w:pStyle w:val="Default"/>
        <w:jc w:val="both"/>
        <w:rPr>
          <w:rFonts w:ascii="Arial" w:hAnsi="Arial" w:cs="Arial"/>
          <w:color w:val="auto"/>
          <w:sz w:val="20"/>
          <w:szCs w:val="20"/>
        </w:rPr>
      </w:pPr>
    </w:p>
    <w:p w14:paraId="382FF76B"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3. Procedure </w:t>
      </w:r>
    </w:p>
    <w:p w14:paraId="23DE523C" w14:textId="77777777" w:rsidR="00630C16" w:rsidRPr="002C6EB1" w:rsidRDefault="00630C16" w:rsidP="006D54A8">
      <w:pPr>
        <w:pStyle w:val="Default"/>
        <w:jc w:val="both"/>
        <w:rPr>
          <w:rFonts w:ascii="Arial" w:hAnsi="Arial" w:cs="Arial"/>
          <w:color w:val="auto"/>
          <w:sz w:val="20"/>
          <w:szCs w:val="20"/>
        </w:rPr>
      </w:pPr>
    </w:p>
    <w:p w14:paraId="4EFFBC0A"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Partner contracts will specify the programmes to be delivered, their maximum contract values, contract and quality management arrangements and target success rates. </w:t>
      </w:r>
    </w:p>
    <w:p w14:paraId="5FB36333"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Contracts will be subject to regular performance review and may be withdrawn and reduced or otherwise amended where the performance review process indicates that there are reasonable grounds to do so. </w:t>
      </w:r>
    </w:p>
    <w:p w14:paraId="69EC725A"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Enable will allocate dedicated resource to the selection, management and monitoring of sub-contracted provision. </w:t>
      </w:r>
    </w:p>
    <w:p w14:paraId="5303992F" w14:textId="337502C4" w:rsidR="00630C16"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Each active sub-contractor will be subject to formal performance monitoring on a monthly basis which may take the form of a face-to-face meeting, a telephone conversation or a review of performance data. Enable will take immediate action if a sub-contractor’s performance does not meet expectations. Actions and responses will give consideration to the monitoring deadlines of the Funding Bodies and timescales to take action will be proportionate to the proximity of those deadlines. </w:t>
      </w:r>
    </w:p>
    <w:p w14:paraId="2AF7D91E" w14:textId="77777777" w:rsidR="0066087C" w:rsidRPr="002C6EB1" w:rsidRDefault="0066087C" w:rsidP="006D54A8">
      <w:pPr>
        <w:pStyle w:val="Default"/>
        <w:jc w:val="both"/>
        <w:rPr>
          <w:rFonts w:ascii="Arial" w:hAnsi="Arial" w:cs="Arial"/>
          <w:color w:val="auto"/>
          <w:sz w:val="20"/>
          <w:szCs w:val="20"/>
        </w:rPr>
      </w:pPr>
    </w:p>
    <w:p w14:paraId="27373EA1" w14:textId="3D2A1EDF" w:rsidR="00630C16" w:rsidRDefault="00630C16" w:rsidP="006D54A8">
      <w:pPr>
        <w:pStyle w:val="Default"/>
        <w:jc w:val="both"/>
        <w:rPr>
          <w:rFonts w:ascii="Arial" w:hAnsi="Arial" w:cs="Arial"/>
          <w:color w:val="auto"/>
          <w:sz w:val="20"/>
          <w:szCs w:val="20"/>
        </w:rPr>
      </w:pPr>
      <w:r w:rsidRPr="00C034EF">
        <w:rPr>
          <w:rFonts w:ascii="Arial" w:hAnsi="Arial" w:cs="Arial"/>
          <w:color w:val="auto"/>
          <w:sz w:val="20"/>
          <w:szCs w:val="20"/>
        </w:rPr>
        <w:t xml:space="preserve">Sub-Contractors will: </w:t>
      </w:r>
    </w:p>
    <w:p w14:paraId="13EF2216" w14:textId="77777777" w:rsidR="00441EB2" w:rsidRPr="00C034EF" w:rsidRDefault="00441EB2" w:rsidP="006D54A8">
      <w:pPr>
        <w:pStyle w:val="Default"/>
        <w:jc w:val="both"/>
        <w:rPr>
          <w:rFonts w:ascii="Arial" w:hAnsi="Arial" w:cs="Arial"/>
          <w:color w:val="auto"/>
          <w:sz w:val="20"/>
          <w:szCs w:val="20"/>
        </w:rPr>
      </w:pPr>
    </w:p>
    <w:p w14:paraId="056E7430"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Be honest and transparent in their dealings with Enable. </w:t>
      </w:r>
    </w:p>
    <w:p w14:paraId="681B6561"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Respect any commercial confidences shared by Enable at the exploratory stage. </w:t>
      </w:r>
    </w:p>
    <w:p w14:paraId="3B8194F5"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lastRenderedPageBreak/>
        <w:t xml:space="preserve">Undertake their own risk assessment to ensure that they only sign up to a level of business that is within their capability, commercial viability and risk tolerance, and is in line with their mission statement and organisational values. </w:t>
      </w:r>
    </w:p>
    <w:p w14:paraId="3869539D" w14:textId="7E3B4463"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Not overestimate the volumes, performance levels or geographical spread they will be able to achieve and will notify Enable of any significant changes to these. </w:t>
      </w:r>
    </w:p>
    <w:p w14:paraId="6C12411A"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Maintain understanding of their own performance against profile and projected delivery. </w:t>
      </w:r>
    </w:p>
    <w:p w14:paraId="3B04D60B"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Give learners the best chance possible of success. </w:t>
      </w:r>
    </w:p>
    <w:p w14:paraId="36512F96"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Regularly communicate with Enable, including timely responses to requests for information. </w:t>
      </w:r>
    </w:p>
    <w:p w14:paraId="178197A8" w14:textId="77777777" w:rsidR="00630C16" w:rsidRPr="00C034EF" w:rsidRDefault="00630C16" w:rsidP="008D1303">
      <w:pPr>
        <w:pStyle w:val="Default"/>
        <w:numPr>
          <w:ilvl w:val="0"/>
          <w:numId w:val="13"/>
        </w:numPr>
        <w:spacing w:after="24"/>
        <w:jc w:val="both"/>
        <w:rPr>
          <w:rFonts w:ascii="Arial" w:hAnsi="Arial" w:cs="Arial"/>
          <w:color w:val="auto"/>
          <w:sz w:val="20"/>
          <w:szCs w:val="20"/>
        </w:rPr>
      </w:pPr>
      <w:r w:rsidRPr="00C034EF">
        <w:rPr>
          <w:rFonts w:ascii="Arial" w:hAnsi="Arial" w:cs="Arial"/>
          <w:color w:val="auto"/>
          <w:sz w:val="20"/>
          <w:szCs w:val="20"/>
        </w:rPr>
        <w:t xml:space="preserve">Provide up to date, full and accurate information on all learners. </w:t>
      </w:r>
    </w:p>
    <w:p w14:paraId="52E56223" w14:textId="60518F85" w:rsidR="00630C16" w:rsidRPr="00C034EF" w:rsidRDefault="00630C16" w:rsidP="008D1303">
      <w:pPr>
        <w:pStyle w:val="Default"/>
        <w:numPr>
          <w:ilvl w:val="0"/>
          <w:numId w:val="13"/>
        </w:numPr>
        <w:jc w:val="both"/>
        <w:rPr>
          <w:rFonts w:ascii="Arial" w:hAnsi="Arial" w:cs="Arial"/>
        </w:rPr>
      </w:pPr>
      <w:r w:rsidRPr="00C034EF">
        <w:rPr>
          <w:rFonts w:ascii="Arial" w:hAnsi="Arial" w:cs="Arial"/>
          <w:color w:val="auto"/>
          <w:sz w:val="20"/>
          <w:szCs w:val="20"/>
        </w:rPr>
        <w:t xml:space="preserve">Ensure the health and safe and safeguarding of all learners. </w:t>
      </w:r>
    </w:p>
    <w:p w14:paraId="7AF96BBF" w14:textId="77777777" w:rsidR="00630C16" w:rsidRPr="00C034EF" w:rsidRDefault="00630C16" w:rsidP="008D1303">
      <w:pPr>
        <w:pStyle w:val="Default"/>
        <w:numPr>
          <w:ilvl w:val="0"/>
          <w:numId w:val="13"/>
        </w:numPr>
        <w:spacing w:after="28"/>
        <w:jc w:val="both"/>
        <w:rPr>
          <w:rFonts w:ascii="Arial" w:hAnsi="Arial" w:cs="Arial"/>
          <w:color w:val="auto"/>
          <w:sz w:val="20"/>
          <w:szCs w:val="20"/>
        </w:rPr>
      </w:pPr>
      <w:r w:rsidRPr="00C034EF">
        <w:rPr>
          <w:rFonts w:ascii="Arial" w:hAnsi="Arial" w:cs="Arial"/>
          <w:color w:val="auto"/>
          <w:sz w:val="20"/>
          <w:szCs w:val="20"/>
        </w:rPr>
        <w:t xml:space="preserve">Alert Enable if they are experiencing any difficulties, including financial problems, in plenty of time to allow any appropriate support to be offered. </w:t>
      </w:r>
    </w:p>
    <w:p w14:paraId="418E834A" w14:textId="77777777" w:rsidR="00630C16" w:rsidRPr="00C034EF" w:rsidRDefault="00630C16" w:rsidP="008D1303">
      <w:pPr>
        <w:pStyle w:val="Default"/>
        <w:numPr>
          <w:ilvl w:val="0"/>
          <w:numId w:val="13"/>
        </w:numPr>
        <w:spacing w:after="28"/>
        <w:jc w:val="both"/>
        <w:rPr>
          <w:rFonts w:ascii="Arial" w:hAnsi="Arial" w:cs="Arial"/>
          <w:color w:val="auto"/>
          <w:sz w:val="20"/>
          <w:szCs w:val="20"/>
        </w:rPr>
      </w:pPr>
      <w:r w:rsidRPr="00C034EF">
        <w:rPr>
          <w:rFonts w:ascii="Arial" w:hAnsi="Arial" w:cs="Arial"/>
          <w:color w:val="auto"/>
          <w:sz w:val="20"/>
          <w:szCs w:val="20"/>
        </w:rPr>
        <w:t xml:space="preserve">Ensure that they keep informed about the wider market and its trends. </w:t>
      </w:r>
    </w:p>
    <w:p w14:paraId="2FCE9B87" w14:textId="77777777" w:rsidR="00630C16" w:rsidRPr="00C034EF" w:rsidRDefault="00630C16" w:rsidP="008D1303">
      <w:pPr>
        <w:pStyle w:val="Default"/>
        <w:numPr>
          <w:ilvl w:val="0"/>
          <w:numId w:val="13"/>
        </w:numPr>
        <w:spacing w:after="28"/>
        <w:jc w:val="both"/>
        <w:rPr>
          <w:rFonts w:ascii="Arial" w:hAnsi="Arial" w:cs="Arial"/>
          <w:color w:val="auto"/>
          <w:sz w:val="20"/>
          <w:szCs w:val="20"/>
        </w:rPr>
      </w:pPr>
      <w:r w:rsidRPr="00C034EF">
        <w:rPr>
          <w:rFonts w:ascii="Arial" w:hAnsi="Arial" w:cs="Arial"/>
          <w:color w:val="auto"/>
          <w:sz w:val="20"/>
          <w:szCs w:val="20"/>
        </w:rPr>
        <w:t xml:space="preserve">Participate and provide feedback in evaluations and reviews. </w:t>
      </w:r>
    </w:p>
    <w:p w14:paraId="785BF8F3" w14:textId="77777777" w:rsidR="00630C16" w:rsidRPr="00C034EF" w:rsidRDefault="00630C16" w:rsidP="008D1303">
      <w:pPr>
        <w:pStyle w:val="Default"/>
        <w:numPr>
          <w:ilvl w:val="0"/>
          <w:numId w:val="13"/>
        </w:numPr>
        <w:spacing w:after="28"/>
        <w:jc w:val="both"/>
        <w:rPr>
          <w:rFonts w:ascii="Arial" w:hAnsi="Arial" w:cs="Arial"/>
          <w:color w:val="auto"/>
          <w:sz w:val="20"/>
          <w:szCs w:val="20"/>
        </w:rPr>
      </w:pPr>
      <w:r w:rsidRPr="00C034EF">
        <w:rPr>
          <w:rFonts w:ascii="Arial" w:hAnsi="Arial" w:cs="Arial"/>
          <w:color w:val="auto"/>
          <w:sz w:val="20"/>
          <w:szCs w:val="20"/>
        </w:rPr>
        <w:t xml:space="preserve">Honour commitments made as contracts are delivered. </w:t>
      </w:r>
    </w:p>
    <w:p w14:paraId="565871B5" w14:textId="77777777" w:rsidR="00630C16" w:rsidRPr="00C034EF" w:rsidRDefault="00630C16" w:rsidP="008D1303">
      <w:pPr>
        <w:pStyle w:val="Default"/>
        <w:numPr>
          <w:ilvl w:val="0"/>
          <w:numId w:val="13"/>
        </w:numPr>
        <w:spacing w:after="28"/>
        <w:jc w:val="both"/>
        <w:rPr>
          <w:rFonts w:ascii="Arial" w:hAnsi="Arial" w:cs="Arial"/>
          <w:color w:val="auto"/>
          <w:sz w:val="20"/>
          <w:szCs w:val="20"/>
        </w:rPr>
      </w:pPr>
      <w:r w:rsidRPr="00C034EF">
        <w:rPr>
          <w:rFonts w:ascii="Arial" w:hAnsi="Arial" w:cs="Arial"/>
          <w:color w:val="auto"/>
          <w:sz w:val="20"/>
          <w:szCs w:val="20"/>
        </w:rPr>
        <w:t xml:space="preserve">Allow Enable staff, funding body representatives, (including auditors) and Ofsted inspectors access to learners, staff, premises and learning records for monitoring purposes. </w:t>
      </w:r>
    </w:p>
    <w:p w14:paraId="1BCA079C" w14:textId="3805E50D" w:rsidR="00630C16" w:rsidRPr="00C034EF" w:rsidRDefault="00630C16" w:rsidP="008D1303">
      <w:pPr>
        <w:pStyle w:val="Default"/>
        <w:numPr>
          <w:ilvl w:val="0"/>
          <w:numId w:val="13"/>
        </w:numPr>
        <w:jc w:val="both"/>
        <w:rPr>
          <w:rFonts w:ascii="Arial" w:hAnsi="Arial" w:cs="Arial"/>
          <w:color w:val="auto"/>
          <w:sz w:val="20"/>
          <w:szCs w:val="20"/>
        </w:rPr>
      </w:pPr>
      <w:r w:rsidRPr="00C034EF">
        <w:rPr>
          <w:rFonts w:ascii="Arial" w:hAnsi="Arial" w:cs="Arial"/>
          <w:color w:val="auto"/>
          <w:sz w:val="20"/>
          <w:szCs w:val="20"/>
        </w:rPr>
        <w:t xml:space="preserve">Attend meetings and training designed to support the successful delivery of the relevant contracts. </w:t>
      </w:r>
    </w:p>
    <w:p w14:paraId="5530E941" w14:textId="5E58153D" w:rsidR="00C554F0" w:rsidRPr="00C034EF" w:rsidRDefault="005904E1" w:rsidP="008D1303">
      <w:pPr>
        <w:pStyle w:val="Default"/>
        <w:numPr>
          <w:ilvl w:val="0"/>
          <w:numId w:val="13"/>
        </w:numPr>
        <w:jc w:val="both"/>
        <w:rPr>
          <w:rFonts w:ascii="Arial" w:hAnsi="Arial" w:cs="Arial"/>
          <w:color w:val="auto"/>
          <w:sz w:val="20"/>
          <w:szCs w:val="20"/>
        </w:rPr>
      </w:pPr>
      <w:r w:rsidRPr="00C034EF">
        <w:rPr>
          <w:rFonts w:ascii="Arial" w:hAnsi="Arial" w:cs="Arial"/>
          <w:color w:val="auto"/>
          <w:sz w:val="20"/>
          <w:szCs w:val="20"/>
        </w:rPr>
        <w:t xml:space="preserve">Ensure the safeguarding of their staff and </w:t>
      </w:r>
      <w:r w:rsidR="00C034EF" w:rsidRPr="00C034EF">
        <w:rPr>
          <w:rFonts w:ascii="Arial" w:hAnsi="Arial" w:cs="Arial"/>
          <w:color w:val="auto"/>
          <w:sz w:val="20"/>
          <w:szCs w:val="20"/>
        </w:rPr>
        <w:t>learners</w:t>
      </w:r>
    </w:p>
    <w:p w14:paraId="4CF6DE4C" w14:textId="035D6B47" w:rsidR="00F33CDD" w:rsidRPr="00C93A63" w:rsidRDefault="00441EB2" w:rsidP="008D1303">
      <w:pPr>
        <w:pStyle w:val="Default"/>
        <w:numPr>
          <w:ilvl w:val="0"/>
          <w:numId w:val="13"/>
        </w:numPr>
        <w:jc w:val="both"/>
        <w:rPr>
          <w:rFonts w:ascii="Arial" w:hAnsi="Arial" w:cs="Arial"/>
          <w:color w:val="auto"/>
          <w:sz w:val="20"/>
          <w:szCs w:val="20"/>
        </w:rPr>
      </w:pPr>
      <w:r>
        <w:rPr>
          <w:rFonts w:ascii="Arial" w:hAnsi="Arial" w:cs="Arial"/>
          <w:color w:val="auto"/>
          <w:sz w:val="20"/>
          <w:szCs w:val="20"/>
        </w:rPr>
        <w:t>C</w:t>
      </w:r>
      <w:r w:rsidR="005A400D" w:rsidRPr="00C93A63">
        <w:rPr>
          <w:rFonts w:ascii="Arial" w:hAnsi="Arial" w:cs="Arial"/>
          <w:color w:val="auto"/>
          <w:sz w:val="20"/>
          <w:szCs w:val="20"/>
        </w:rPr>
        <w:t xml:space="preserve">omply with all </w:t>
      </w:r>
      <w:r w:rsidR="00A737F1" w:rsidRPr="00C93A63">
        <w:rPr>
          <w:rFonts w:ascii="Arial" w:hAnsi="Arial" w:cs="Arial"/>
          <w:color w:val="auto"/>
          <w:sz w:val="20"/>
          <w:szCs w:val="20"/>
        </w:rPr>
        <w:t xml:space="preserve">Enable policies </w:t>
      </w:r>
      <w:r w:rsidR="00C93A63" w:rsidRPr="00C93A63">
        <w:rPr>
          <w:rFonts w:ascii="Arial" w:hAnsi="Arial" w:cs="Arial"/>
          <w:color w:val="auto"/>
          <w:sz w:val="20"/>
          <w:szCs w:val="20"/>
        </w:rPr>
        <w:t>of which they have access to</w:t>
      </w:r>
      <w:r w:rsidR="008D1303">
        <w:rPr>
          <w:rFonts w:ascii="Arial" w:hAnsi="Arial" w:cs="Arial"/>
          <w:color w:val="auto"/>
          <w:sz w:val="20"/>
          <w:szCs w:val="20"/>
        </w:rPr>
        <w:t>.</w:t>
      </w:r>
    </w:p>
    <w:p w14:paraId="07547A01" w14:textId="77777777" w:rsidR="00630C16" w:rsidRPr="002C6EB1" w:rsidRDefault="00630C16" w:rsidP="006D54A8">
      <w:pPr>
        <w:pStyle w:val="Default"/>
        <w:jc w:val="both"/>
        <w:rPr>
          <w:rFonts w:ascii="Arial" w:hAnsi="Arial" w:cs="Arial"/>
          <w:b/>
          <w:bCs/>
          <w:color w:val="auto"/>
          <w:sz w:val="20"/>
          <w:szCs w:val="20"/>
        </w:rPr>
      </w:pPr>
    </w:p>
    <w:p w14:paraId="78A3A9DB"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Enable will </w:t>
      </w:r>
    </w:p>
    <w:p w14:paraId="5043CB0F" w14:textId="77777777" w:rsidR="00630C16" w:rsidRPr="002C6EB1" w:rsidRDefault="00630C16" w:rsidP="006D54A8">
      <w:pPr>
        <w:pStyle w:val="Default"/>
        <w:jc w:val="both"/>
        <w:rPr>
          <w:rFonts w:ascii="Arial" w:hAnsi="Arial" w:cs="Arial"/>
          <w:color w:val="auto"/>
          <w:sz w:val="20"/>
          <w:szCs w:val="20"/>
        </w:rPr>
      </w:pPr>
    </w:p>
    <w:p w14:paraId="45717A37"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Manage the sub-contractors with integrity and openness </w:t>
      </w:r>
    </w:p>
    <w:p w14:paraId="4AE87A89"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Ensure that all sub-contractors receive clear and consistent communication and guidance, and clearly define and communicate any specific ways of working that sub-contractors are expected to adapt and follow </w:t>
      </w:r>
    </w:p>
    <w:p w14:paraId="1D6761AD"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Provide high quality and timely performance information as required by the sub-contractor and the funding agencies </w:t>
      </w:r>
    </w:p>
    <w:p w14:paraId="1F35750D"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Provide such information as may be relevant to the operation of the contract between Enable and the sub-contractor and disseminate any pertinent information from funding bodies and other agencies. </w:t>
      </w:r>
    </w:p>
    <w:p w14:paraId="0C911037" w14:textId="77777777" w:rsidR="00630C16" w:rsidRPr="00392D16"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Give reasonable notice of any decisions to reduce or discontinue the contractual arrangements with </w:t>
      </w:r>
      <w:r w:rsidRPr="00392D16">
        <w:rPr>
          <w:rFonts w:ascii="Arial" w:hAnsi="Arial" w:cs="Arial"/>
          <w:color w:val="auto"/>
          <w:sz w:val="20"/>
          <w:szCs w:val="20"/>
        </w:rPr>
        <w:t xml:space="preserve">the sub-contractor </w:t>
      </w:r>
    </w:p>
    <w:p w14:paraId="03252E85"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Offer opportunities for sub-contractors to participate in training activities organised by Enable </w:t>
      </w:r>
    </w:p>
    <w:p w14:paraId="0DE43FC7"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Hold partnership network meetings to aid communication and sharing of good practice </w:t>
      </w:r>
    </w:p>
    <w:p w14:paraId="5EBC770B" w14:textId="77777777" w:rsidR="00630C16" w:rsidRPr="002C6EB1" w:rsidRDefault="00630C16" w:rsidP="008D1303">
      <w:pPr>
        <w:pStyle w:val="Default"/>
        <w:numPr>
          <w:ilvl w:val="0"/>
          <w:numId w:val="14"/>
        </w:numPr>
        <w:spacing w:after="26"/>
        <w:jc w:val="both"/>
        <w:rPr>
          <w:rFonts w:ascii="Arial" w:hAnsi="Arial" w:cs="Arial"/>
          <w:color w:val="auto"/>
          <w:sz w:val="20"/>
          <w:szCs w:val="20"/>
        </w:rPr>
      </w:pPr>
      <w:r w:rsidRPr="002C6EB1">
        <w:rPr>
          <w:rFonts w:ascii="Arial" w:hAnsi="Arial" w:cs="Arial"/>
          <w:color w:val="auto"/>
          <w:sz w:val="20"/>
          <w:szCs w:val="20"/>
        </w:rPr>
        <w:t xml:space="preserve">Honour commitments made as contracts are delivered </w:t>
      </w:r>
    </w:p>
    <w:p w14:paraId="138D5840" w14:textId="77777777" w:rsidR="00630C16" w:rsidRPr="00392D16" w:rsidRDefault="00630C16" w:rsidP="008D1303">
      <w:pPr>
        <w:pStyle w:val="Default"/>
        <w:numPr>
          <w:ilvl w:val="0"/>
          <w:numId w:val="14"/>
        </w:numPr>
        <w:spacing w:after="26"/>
        <w:jc w:val="both"/>
        <w:rPr>
          <w:rFonts w:ascii="Arial" w:hAnsi="Arial" w:cs="Arial"/>
          <w:color w:val="auto"/>
          <w:sz w:val="20"/>
          <w:szCs w:val="20"/>
        </w:rPr>
      </w:pPr>
      <w:r w:rsidRPr="00392D16">
        <w:rPr>
          <w:rFonts w:ascii="Arial" w:hAnsi="Arial" w:cs="Arial"/>
          <w:color w:val="auto"/>
          <w:sz w:val="20"/>
          <w:szCs w:val="20"/>
        </w:rPr>
        <w:t xml:space="preserve">Make available support to enable the delivery of qualifications and accredited programmes </w:t>
      </w:r>
    </w:p>
    <w:p w14:paraId="719E329C" w14:textId="6140AE6A" w:rsidR="00630C16" w:rsidRPr="002C6EB1" w:rsidRDefault="00A66F14" w:rsidP="008D1303">
      <w:pPr>
        <w:pStyle w:val="Default"/>
        <w:numPr>
          <w:ilvl w:val="0"/>
          <w:numId w:val="14"/>
        </w:numPr>
        <w:jc w:val="both"/>
        <w:rPr>
          <w:rFonts w:ascii="Arial" w:hAnsi="Arial" w:cs="Arial"/>
          <w:color w:val="auto"/>
          <w:sz w:val="20"/>
          <w:szCs w:val="20"/>
        </w:rPr>
      </w:pPr>
      <w:r>
        <w:rPr>
          <w:rFonts w:ascii="Arial" w:hAnsi="Arial" w:cs="Arial"/>
          <w:color w:val="auto"/>
          <w:sz w:val="20"/>
          <w:szCs w:val="20"/>
        </w:rPr>
        <w:t>Provide capacity building support to enable sub-contractors to develop and su</w:t>
      </w:r>
      <w:r w:rsidR="00223711">
        <w:rPr>
          <w:rFonts w:ascii="Arial" w:hAnsi="Arial" w:cs="Arial"/>
          <w:color w:val="auto"/>
          <w:sz w:val="20"/>
          <w:szCs w:val="20"/>
        </w:rPr>
        <w:t>stain their services</w:t>
      </w:r>
    </w:p>
    <w:p w14:paraId="6D22D758" w14:textId="6CAC4A6B" w:rsidR="00F33CDD" w:rsidRPr="002C6EB1" w:rsidRDefault="00F33CDD" w:rsidP="006D54A8">
      <w:pPr>
        <w:pStyle w:val="Default"/>
        <w:ind w:left="360"/>
        <w:jc w:val="both"/>
        <w:rPr>
          <w:rFonts w:ascii="Arial" w:hAnsi="Arial" w:cs="Arial"/>
          <w:color w:val="auto"/>
          <w:sz w:val="20"/>
          <w:szCs w:val="20"/>
        </w:rPr>
      </w:pPr>
    </w:p>
    <w:p w14:paraId="07459315" w14:textId="77777777" w:rsidR="00630C16" w:rsidRPr="002C6EB1" w:rsidRDefault="00630C16" w:rsidP="006D54A8">
      <w:pPr>
        <w:pStyle w:val="Default"/>
        <w:jc w:val="both"/>
        <w:rPr>
          <w:rFonts w:ascii="Arial" w:hAnsi="Arial" w:cs="Arial"/>
          <w:color w:val="auto"/>
          <w:sz w:val="20"/>
          <w:szCs w:val="20"/>
        </w:rPr>
      </w:pPr>
    </w:p>
    <w:p w14:paraId="26A57816" w14:textId="77777777" w:rsidR="00630C16" w:rsidRPr="002C6EB1" w:rsidRDefault="00630C16" w:rsidP="006D54A8">
      <w:pPr>
        <w:pStyle w:val="Default"/>
        <w:jc w:val="both"/>
        <w:rPr>
          <w:rFonts w:ascii="Arial" w:hAnsi="Arial" w:cs="Arial"/>
          <w:b/>
          <w:bCs/>
          <w:color w:val="auto"/>
          <w:sz w:val="20"/>
          <w:szCs w:val="20"/>
        </w:rPr>
      </w:pPr>
      <w:r w:rsidRPr="002C6EB1">
        <w:rPr>
          <w:rFonts w:ascii="Arial" w:hAnsi="Arial" w:cs="Arial"/>
          <w:b/>
          <w:bCs/>
          <w:color w:val="auto"/>
          <w:sz w:val="20"/>
          <w:szCs w:val="20"/>
        </w:rPr>
        <w:t xml:space="preserve">Operational Support </w:t>
      </w:r>
    </w:p>
    <w:p w14:paraId="6537F28F" w14:textId="77777777" w:rsidR="00630C16" w:rsidRPr="002C6EB1" w:rsidRDefault="00630C16" w:rsidP="006D54A8">
      <w:pPr>
        <w:pStyle w:val="Default"/>
        <w:jc w:val="both"/>
        <w:rPr>
          <w:rFonts w:ascii="Arial" w:hAnsi="Arial" w:cs="Arial"/>
          <w:color w:val="auto"/>
          <w:sz w:val="20"/>
          <w:szCs w:val="20"/>
        </w:rPr>
      </w:pPr>
    </w:p>
    <w:p w14:paraId="49127424" w14:textId="28BAEFBB"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Enable will provide a dedicated and responsive contract management team to deal effectively and efficiently with </w:t>
      </w:r>
      <w:r w:rsidR="007F4E51" w:rsidRPr="002C6EB1">
        <w:rPr>
          <w:rFonts w:ascii="Arial" w:hAnsi="Arial" w:cs="Arial"/>
          <w:color w:val="auto"/>
          <w:sz w:val="20"/>
          <w:szCs w:val="20"/>
        </w:rPr>
        <w:t>day-to-day</w:t>
      </w:r>
      <w:r w:rsidRPr="002C6EB1">
        <w:rPr>
          <w:rFonts w:ascii="Arial" w:hAnsi="Arial" w:cs="Arial"/>
          <w:color w:val="auto"/>
          <w:sz w:val="20"/>
          <w:szCs w:val="20"/>
        </w:rPr>
        <w:t xml:space="preserve"> queries relating to funding rules, regulations and requirements. </w:t>
      </w:r>
    </w:p>
    <w:p w14:paraId="6DFB9E20" w14:textId="77777777" w:rsidR="00630C16" w:rsidRPr="002C6EB1" w:rsidRDefault="00630C16" w:rsidP="006D54A8">
      <w:pPr>
        <w:pStyle w:val="Default"/>
        <w:jc w:val="both"/>
        <w:rPr>
          <w:rFonts w:ascii="Arial" w:hAnsi="Arial" w:cs="Arial"/>
          <w:color w:val="auto"/>
          <w:sz w:val="20"/>
          <w:szCs w:val="20"/>
        </w:rPr>
      </w:pPr>
    </w:p>
    <w:p w14:paraId="585BE757" w14:textId="77777777" w:rsidR="007F4E51" w:rsidRDefault="00630C16" w:rsidP="006D54A8">
      <w:pPr>
        <w:pStyle w:val="Default"/>
        <w:jc w:val="both"/>
        <w:rPr>
          <w:rFonts w:ascii="Arial" w:hAnsi="Arial" w:cs="Arial"/>
          <w:b/>
          <w:bCs/>
          <w:color w:val="auto"/>
          <w:sz w:val="20"/>
          <w:szCs w:val="20"/>
        </w:rPr>
      </w:pPr>
      <w:r w:rsidRPr="002C6EB1">
        <w:rPr>
          <w:rFonts w:ascii="Arial" w:hAnsi="Arial" w:cs="Arial"/>
          <w:b/>
          <w:bCs/>
          <w:color w:val="auto"/>
          <w:sz w:val="20"/>
          <w:szCs w:val="20"/>
        </w:rPr>
        <w:t>Prompt payments and a comprehensive payment breakdown</w:t>
      </w:r>
    </w:p>
    <w:p w14:paraId="77195515" w14:textId="268BB2ED" w:rsidR="00630C16" w:rsidRPr="002C6EB1" w:rsidRDefault="00630C16" w:rsidP="006D54A8">
      <w:pPr>
        <w:pStyle w:val="Default"/>
        <w:jc w:val="both"/>
        <w:rPr>
          <w:rFonts w:ascii="Arial" w:hAnsi="Arial" w:cs="Arial"/>
          <w:color w:val="auto"/>
          <w:sz w:val="20"/>
          <w:szCs w:val="20"/>
        </w:rPr>
      </w:pPr>
      <w:r w:rsidRPr="002C6EB1">
        <w:rPr>
          <w:rFonts w:ascii="Arial" w:hAnsi="Arial" w:cs="Arial"/>
          <w:b/>
          <w:bCs/>
          <w:color w:val="auto"/>
          <w:sz w:val="20"/>
          <w:szCs w:val="20"/>
        </w:rPr>
        <w:t xml:space="preserve"> </w:t>
      </w:r>
    </w:p>
    <w:p w14:paraId="78F314D6"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Enable will provide pro-active Finance and Performance Teams who will respond to financial queries and distribute a monthly breakdown showing the amount of funding paid for every learner. </w:t>
      </w:r>
    </w:p>
    <w:p w14:paraId="6F3B79DC" w14:textId="58C6EC1D" w:rsidR="00630C16"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Management fees will be deducted at source; sub-contractors will receive a Maximum Contract Value (MCV) from Enable that reflects their available funds, and any management fee will have been deducted prior to this allocation. Enable will make monthly payments to sub-contractors based on the correct submission of data and supporting evidence that validates learning delivery. </w:t>
      </w:r>
    </w:p>
    <w:p w14:paraId="625D09DF" w14:textId="77777777" w:rsidR="007F4E51" w:rsidRPr="002C6EB1" w:rsidRDefault="007F4E51" w:rsidP="006D54A8">
      <w:pPr>
        <w:pStyle w:val="Default"/>
        <w:jc w:val="both"/>
        <w:rPr>
          <w:rFonts w:ascii="Arial" w:hAnsi="Arial" w:cs="Arial"/>
          <w:color w:val="auto"/>
          <w:sz w:val="20"/>
          <w:szCs w:val="20"/>
        </w:rPr>
      </w:pPr>
    </w:p>
    <w:p w14:paraId="112A7167"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All funding claims must comply with current ESFA Funding rules and the terms of the contract between Enable and its sub-contractors. Where funding claims cannot be substantiated Enable will adjust or reclaim any funds from the sub-contractor, and where required make an appropriate repayment to the ESFA. </w:t>
      </w:r>
    </w:p>
    <w:p w14:paraId="70DF9E56" w14:textId="77777777" w:rsidR="00630C16" w:rsidRPr="002C6EB1" w:rsidRDefault="00630C16" w:rsidP="006D54A8">
      <w:pPr>
        <w:pStyle w:val="Default"/>
        <w:jc w:val="both"/>
        <w:rPr>
          <w:rFonts w:ascii="Arial" w:hAnsi="Arial" w:cs="Arial"/>
          <w:color w:val="auto"/>
          <w:sz w:val="20"/>
          <w:szCs w:val="20"/>
        </w:rPr>
      </w:pPr>
    </w:p>
    <w:p w14:paraId="25BE9DF8"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lastRenderedPageBreak/>
        <w:t xml:space="preserve">4. Fees and Charges </w:t>
      </w:r>
    </w:p>
    <w:p w14:paraId="44E871BC" w14:textId="77777777" w:rsidR="00630C16" w:rsidRPr="002C6EB1" w:rsidRDefault="00630C16" w:rsidP="006D54A8">
      <w:pPr>
        <w:pStyle w:val="Default"/>
        <w:jc w:val="both"/>
        <w:rPr>
          <w:rFonts w:ascii="Arial" w:hAnsi="Arial" w:cs="Arial"/>
          <w:color w:val="auto"/>
          <w:sz w:val="20"/>
          <w:szCs w:val="20"/>
        </w:rPr>
      </w:pPr>
    </w:p>
    <w:p w14:paraId="638B8DEA" w14:textId="7D5A641E" w:rsidR="00630C16" w:rsidRDefault="00630C16" w:rsidP="006D54A8">
      <w:pPr>
        <w:pStyle w:val="Default"/>
        <w:jc w:val="both"/>
        <w:rPr>
          <w:rFonts w:ascii="Arial" w:hAnsi="Arial" w:cs="Arial"/>
          <w:color w:val="auto"/>
          <w:sz w:val="20"/>
          <w:szCs w:val="20"/>
        </w:rPr>
      </w:pPr>
      <w:r w:rsidRPr="00DE3214">
        <w:rPr>
          <w:rFonts w:ascii="Arial" w:hAnsi="Arial" w:cs="Arial"/>
          <w:b/>
          <w:bCs/>
          <w:color w:val="auto"/>
          <w:sz w:val="20"/>
          <w:szCs w:val="20"/>
        </w:rPr>
        <w:t>The management fee charged will be 20% of the income received</w:t>
      </w:r>
      <w:r w:rsidR="00AB3041">
        <w:rPr>
          <w:rFonts w:ascii="Arial" w:hAnsi="Arial" w:cs="Arial"/>
          <w:b/>
          <w:bCs/>
          <w:color w:val="auto"/>
          <w:sz w:val="20"/>
          <w:szCs w:val="20"/>
        </w:rPr>
        <w:t>.</w:t>
      </w:r>
      <w:r w:rsidRPr="00DE3214">
        <w:rPr>
          <w:rFonts w:ascii="Arial" w:hAnsi="Arial" w:cs="Arial"/>
          <w:b/>
          <w:bCs/>
          <w:color w:val="auto"/>
          <w:sz w:val="20"/>
          <w:szCs w:val="20"/>
        </w:rPr>
        <w:t xml:space="preserve"> </w:t>
      </w:r>
      <w:r w:rsidR="00AB3041">
        <w:rPr>
          <w:rFonts w:ascii="Arial" w:hAnsi="Arial" w:cs="Arial"/>
          <w:b/>
          <w:bCs/>
          <w:color w:val="auto"/>
          <w:sz w:val="20"/>
          <w:szCs w:val="20"/>
        </w:rPr>
        <w:t>S</w:t>
      </w:r>
      <w:r w:rsidRPr="00DE3214">
        <w:rPr>
          <w:rFonts w:ascii="Arial" w:hAnsi="Arial" w:cs="Arial"/>
          <w:b/>
          <w:bCs/>
          <w:color w:val="auto"/>
          <w:sz w:val="20"/>
          <w:szCs w:val="20"/>
        </w:rPr>
        <w:t>ubject to determined delivery costs (consisting of programme funding and tuition fees)</w:t>
      </w:r>
      <w:r w:rsidRPr="00DE3214">
        <w:rPr>
          <w:rFonts w:ascii="Arial" w:hAnsi="Arial" w:cs="Arial"/>
          <w:color w:val="auto"/>
          <w:sz w:val="20"/>
          <w:szCs w:val="20"/>
        </w:rPr>
        <w:t xml:space="preserve"> </w:t>
      </w:r>
      <w:r w:rsidR="006F1A98">
        <w:rPr>
          <w:rFonts w:ascii="Arial" w:hAnsi="Arial" w:cs="Arial"/>
          <w:color w:val="auto"/>
          <w:sz w:val="20"/>
          <w:szCs w:val="20"/>
        </w:rPr>
        <w:t>Enable will provide</w:t>
      </w:r>
      <w:r w:rsidRPr="002C6EB1">
        <w:rPr>
          <w:rFonts w:ascii="Arial" w:hAnsi="Arial" w:cs="Arial"/>
          <w:color w:val="auto"/>
          <w:sz w:val="20"/>
          <w:szCs w:val="20"/>
        </w:rPr>
        <w:t xml:space="preserve"> the following</w:t>
      </w:r>
      <w:r w:rsidR="006F1A98">
        <w:rPr>
          <w:rFonts w:ascii="Arial" w:hAnsi="Arial" w:cs="Arial"/>
          <w:color w:val="auto"/>
          <w:sz w:val="20"/>
          <w:szCs w:val="20"/>
        </w:rPr>
        <w:t xml:space="preserve"> in justification of </w:t>
      </w:r>
      <w:r w:rsidR="007F4E51">
        <w:rPr>
          <w:rFonts w:ascii="Arial" w:hAnsi="Arial" w:cs="Arial"/>
          <w:color w:val="auto"/>
          <w:sz w:val="20"/>
          <w:szCs w:val="20"/>
        </w:rPr>
        <w:t>its</w:t>
      </w:r>
      <w:r w:rsidR="006F1A98">
        <w:rPr>
          <w:rFonts w:ascii="Arial" w:hAnsi="Arial" w:cs="Arial"/>
          <w:color w:val="auto"/>
          <w:sz w:val="20"/>
          <w:szCs w:val="20"/>
        </w:rPr>
        <w:t xml:space="preserve"> </w:t>
      </w:r>
      <w:r w:rsidR="00392D16">
        <w:rPr>
          <w:rFonts w:ascii="Arial" w:hAnsi="Arial" w:cs="Arial"/>
          <w:color w:val="auto"/>
          <w:sz w:val="20"/>
          <w:szCs w:val="20"/>
        </w:rPr>
        <w:t>management fees</w:t>
      </w:r>
      <w:r w:rsidRPr="002C6EB1">
        <w:rPr>
          <w:rFonts w:ascii="Arial" w:hAnsi="Arial" w:cs="Arial"/>
          <w:color w:val="auto"/>
          <w:sz w:val="20"/>
          <w:szCs w:val="20"/>
        </w:rPr>
        <w:t xml:space="preserve">: </w:t>
      </w:r>
    </w:p>
    <w:p w14:paraId="754E64D5" w14:textId="77777777" w:rsidR="00D454C6" w:rsidRPr="002C6EB1" w:rsidRDefault="00D454C6" w:rsidP="006D54A8">
      <w:pPr>
        <w:pStyle w:val="Default"/>
        <w:jc w:val="both"/>
        <w:rPr>
          <w:rFonts w:ascii="Arial" w:hAnsi="Arial" w:cs="Arial"/>
          <w:color w:val="auto"/>
          <w:sz w:val="20"/>
          <w:szCs w:val="20"/>
        </w:rPr>
      </w:pPr>
    </w:p>
    <w:p w14:paraId="60C24169" w14:textId="4EB04B92" w:rsidR="00630C16" w:rsidRPr="002C6EB1" w:rsidRDefault="00630C16" w:rsidP="007F4E51">
      <w:pPr>
        <w:pStyle w:val="Default"/>
        <w:numPr>
          <w:ilvl w:val="0"/>
          <w:numId w:val="15"/>
        </w:numPr>
        <w:spacing w:after="25"/>
        <w:jc w:val="both"/>
        <w:rPr>
          <w:rFonts w:ascii="Arial" w:hAnsi="Arial" w:cs="Arial"/>
          <w:color w:val="auto"/>
          <w:sz w:val="20"/>
          <w:szCs w:val="20"/>
        </w:rPr>
      </w:pPr>
      <w:r w:rsidRPr="002C6EB1">
        <w:rPr>
          <w:rFonts w:ascii="Arial" w:hAnsi="Arial" w:cs="Arial"/>
          <w:color w:val="auto"/>
          <w:sz w:val="20"/>
          <w:szCs w:val="20"/>
        </w:rPr>
        <w:t xml:space="preserve">Pre-contract assessment, contract management (including performance against maximum funding values), submitting declaration of </w:t>
      </w:r>
      <w:r w:rsidR="007F4E51" w:rsidRPr="002C6EB1">
        <w:rPr>
          <w:rFonts w:ascii="Arial" w:hAnsi="Arial" w:cs="Arial"/>
          <w:color w:val="auto"/>
          <w:sz w:val="20"/>
          <w:szCs w:val="20"/>
        </w:rPr>
        <w:t>sub-contractor</w:t>
      </w:r>
      <w:r w:rsidRPr="002C6EB1">
        <w:rPr>
          <w:rFonts w:ascii="Arial" w:hAnsi="Arial" w:cs="Arial"/>
          <w:color w:val="auto"/>
          <w:sz w:val="20"/>
          <w:szCs w:val="20"/>
        </w:rPr>
        <w:t xml:space="preserve"> form to ESFA. </w:t>
      </w:r>
    </w:p>
    <w:p w14:paraId="1CE26774" w14:textId="19574580" w:rsidR="00630C16" w:rsidRPr="002C6EB1" w:rsidRDefault="00630C16" w:rsidP="007F4E51">
      <w:pPr>
        <w:pStyle w:val="Default"/>
        <w:numPr>
          <w:ilvl w:val="0"/>
          <w:numId w:val="15"/>
        </w:numPr>
        <w:spacing w:after="25"/>
        <w:jc w:val="both"/>
        <w:rPr>
          <w:rFonts w:ascii="Arial" w:hAnsi="Arial" w:cs="Arial"/>
          <w:color w:val="auto"/>
          <w:sz w:val="20"/>
          <w:szCs w:val="20"/>
        </w:rPr>
      </w:pPr>
      <w:r w:rsidRPr="002C6EB1">
        <w:rPr>
          <w:rFonts w:ascii="Arial" w:hAnsi="Arial" w:cs="Arial"/>
          <w:color w:val="auto"/>
          <w:sz w:val="20"/>
          <w:szCs w:val="20"/>
        </w:rPr>
        <w:t xml:space="preserve">Data management – </w:t>
      </w:r>
      <w:r w:rsidR="00B81E71">
        <w:rPr>
          <w:rFonts w:ascii="Arial" w:hAnsi="Arial" w:cs="Arial"/>
          <w:color w:val="auto"/>
          <w:sz w:val="20"/>
          <w:szCs w:val="20"/>
        </w:rPr>
        <w:t xml:space="preserve">where required support with </w:t>
      </w:r>
      <w:r w:rsidRPr="00B81E71">
        <w:rPr>
          <w:rFonts w:ascii="Arial" w:hAnsi="Arial" w:cs="Arial"/>
          <w:color w:val="auto"/>
          <w:sz w:val="20"/>
          <w:szCs w:val="20"/>
        </w:rPr>
        <w:t>learner eligibility</w:t>
      </w:r>
      <w:r w:rsidR="00205B22">
        <w:rPr>
          <w:rFonts w:ascii="Arial" w:hAnsi="Arial" w:cs="Arial"/>
          <w:color w:val="auto"/>
          <w:sz w:val="20"/>
          <w:szCs w:val="20"/>
        </w:rPr>
        <w:t>,</w:t>
      </w:r>
      <w:r w:rsidR="006F29CF" w:rsidRPr="002C6EB1">
        <w:rPr>
          <w:rFonts w:ascii="Arial" w:hAnsi="Arial" w:cs="Arial"/>
          <w:color w:val="auto"/>
          <w:sz w:val="20"/>
          <w:szCs w:val="20"/>
        </w:rPr>
        <w:t xml:space="preserve"> </w:t>
      </w:r>
      <w:r w:rsidRPr="002C6EB1">
        <w:rPr>
          <w:rFonts w:ascii="Arial" w:hAnsi="Arial" w:cs="Arial"/>
          <w:color w:val="auto"/>
          <w:sz w:val="20"/>
          <w:szCs w:val="20"/>
        </w:rPr>
        <w:t xml:space="preserve">existence and completeness checks, recording of enrolment data and submission of funding claim to relevant funding body. </w:t>
      </w:r>
    </w:p>
    <w:p w14:paraId="68BBD385" w14:textId="77777777" w:rsidR="00630C16" w:rsidRPr="002C6EB1" w:rsidRDefault="00630C16" w:rsidP="007F4E51">
      <w:pPr>
        <w:pStyle w:val="Default"/>
        <w:numPr>
          <w:ilvl w:val="0"/>
          <w:numId w:val="15"/>
        </w:numPr>
        <w:spacing w:after="25"/>
        <w:jc w:val="both"/>
        <w:rPr>
          <w:rFonts w:ascii="Arial" w:hAnsi="Arial" w:cs="Arial"/>
          <w:color w:val="auto"/>
          <w:sz w:val="20"/>
          <w:szCs w:val="20"/>
        </w:rPr>
      </w:pPr>
      <w:r w:rsidRPr="002C6EB1">
        <w:rPr>
          <w:rFonts w:ascii="Arial" w:hAnsi="Arial" w:cs="Arial"/>
          <w:color w:val="auto"/>
          <w:sz w:val="20"/>
          <w:szCs w:val="20"/>
        </w:rPr>
        <w:t xml:space="preserve">Performance management – to review delivery against profile, where appropriate, and to review retention, achievement and success rates. </w:t>
      </w:r>
    </w:p>
    <w:p w14:paraId="5D30028C" w14:textId="77777777" w:rsidR="00630C16" w:rsidRPr="002C6EB1" w:rsidRDefault="00630C16" w:rsidP="007F4E51">
      <w:pPr>
        <w:pStyle w:val="Default"/>
        <w:numPr>
          <w:ilvl w:val="0"/>
          <w:numId w:val="15"/>
        </w:numPr>
        <w:spacing w:after="25"/>
        <w:jc w:val="both"/>
        <w:rPr>
          <w:rFonts w:ascii="Arial" w:hAnsi="Arial" w:cs="Arial"/>
          <w:color w:val="auto"/>
          <w:sz w:val="20"/>
          <w:szCs w:val="20"/>
        </w:rPr>
      </w:pPr>
      <w:r w:rsidRPr="002C6EB1">
        <w:rPr>
          <w:rFonts w:ascii="Arial" w:hAnsi="Arial" w:cs="Arial"/>
          <w:color w:val="auto"/>
          <w:sz w:val="20"/>
          <w:szCs w:val="20"/>
        </w:rPr>
        <w:t xml:space="preserve">Contract compliance checks - funding compliance checks by Enable staff. </w:t>
      </w:r>
    </w:p>
    <w:p w14:paraId="0F540E82" w14:textId="4E7AD349" w:rsidR="00630C16" w:rsidRPr="006D3B0F" w:rsidRDefault="00630C16" w:rsidP="007F4E51">
      <w:pPr>
        <w:pStyle w:val="Default"/>
        <w:numPr>
          <w:ilvl w:val="0"/>
          <w:numId w:val="15"/>
        </w:numPr>
        <w:tabs>
          <w:tab w:val="left" w:pos="568"/>
        </w:tabs>
        <w:spacing w:after="25"/>
        <w:jc w:val="both"/>
        <w:rPr>
          <w:rFonts w:ascii="Arial" w:hAnsi="Arial" w:cs="Arial"/>
          <w:color w:val="auto"/>
          <w:sz w:val="20"/>
          <w:szCs w:val="20"/>
        </w:rPr>
      </w:pPr>
      <w:r w:rsidRPr="002C6EB1">
        <w:rPr>
          <w:rFonts w:ascii="Arial" w:hAnsi="Arial" w:cs="Arial"/>
          <w:color w:val="auto"/>
          <w:sz w:val="20"/>
          <w:szCs w:val="20"/>
        </w:rPr>
        <w:t xml:space="preserve">Quality - observations of teaching and learning, </w:t>
      </w:r>
      <w:r w:rsidRPr="00205B22">
        <w:rPr>
          <w:rFonts w:ascii="Arial" w:hAnsi="Arial" w:cs="Arial"/>
          <w:color w:val="auto"/>
          <w:sz w:val="20"/>
          <w:szCs w:val="20"/>
        </w:rPr>
        <w:t>along with quality monitoring visits</w:t>
      </w:r>
      <w:r w:rsidRPr="002C6EB1">
        <w:rPr>
          <w:rFonts w:ascii="Arial" w:hAnsi="Arial" w:cs="Arial"/>
          <w:color w:val="auto"/>
          <w:sz w:val="20"/>
          <w:szCs w:val="20"/>
        </w:rPr>
        <w:t>.</w:t>
      </w:r>
      <w:r w:rsidR="006F29CF" w:rsidRPr="002C6EB1">
        <w:rPr>
          <w:rFonts w:ascii="Arial" w:hAnsi="Arial" w:cs="Arial"/>
          <w:color w:val="auto"/>
          <w:sz w:val="20"/>
          <w:szCs w:val="20"/>
        </w:rPr>
        <w:t xml:space="preserve">  </w:t>
      </w:r>
      <w:r w:rsidR="00AB512C">
        <w:rPr>
          <w:rFonts w:ascii="Arial" w:hAnsi="Arial" w:cs="Arial"/>
          <w:color w:val="auto"/>
          <w:sz w:val="20"/>
          <w:szCs w:val="20"/>
        </w:rPr>
        <w:t>(This</w:t>
      </w:r>
      <w:r w:rsidR="00680BD8">
        <w:rPr>
          <w:rFonts w:ascii="Arial" w:hAnsi="Arial" w:cs="Arial"/>
          <w:color w:val="auto"/>
          <w:sz w:val="20"/>
          <w:szCs w:val="20"/>
        </w:rPr>
        <w:t xml:space="preserve"> </w:t>
      </w:r>
      <w:r w:rsidR="00AB512C">
        <w:rPr>
          <w:rFonts w:ascii="Arial" w:hAnsi="Arial" w:cs="Arial"/>
          <w:color w:val="auto"/>
          <w:sz w:val="20"/>
          <w:szCs w:val="20"/>
        </w:rPr>
        <w:t xml:space="preserve">may take the form of remote visits should conditions dictate such as </w:t>
      </w:r>
      <w:r w:rsidR="006D3B0F">
        <w:rPr>
          <w:rFonts w:ascii="Arial" w:hAnsi="Arial" w:cs="Arial"/>
          <w:color w:val="auto"/>
          <w:sz w:val="20"/>
          <w:szCs w:val="20"/>
        </w:rPr>
        <w:t>National lockdown)</w:t>
      </w:r>
      <w:r w:rsidR="006F29CF" w:rsidRPr="002C6EB1">
        <w:rPr>
          <w:rFonts w:ascii="Arial" w:hAnsi="Arial" w:cs="Arial"/>
          <w:color w:val="auto"/>
          <w:sz w:val="20"/>
          <w:szCs w:val="20"/>
        </w:rPr>
        <w:t xml:space="preserve"> </w:t>
      </w:r>
      <w:r w:rsidR="007F4E51">
        <w:rPr>
          <w:rFonts w:ascii="Arial" w:hAnsi="Arial" w:cs="Arial"/>
          <w:color w:val="auto"/>
          <w:sz w:val="20"/>
          <w:szCs w:val="20"/>
        </w:rPr>
        <w:t>T</w:t>
      </w:r>
      <w:r w:rsidRPr="002C6EB1">
        <w:rPr>
          <w:rFonts w:ascii="Arial" w:hAnsi="Arial" w:cs="Arial"/>
          <w:color w:val="auto"/>
          <w:sz w:val="20"/>
          <w:szCs w:val="20"/>
        </w:rPr>
        <w:t>his will then be used to support an improvement</w:t>
      </w:r>
      <w:r w:rsidR="006D3B0F">
        <w:rPr>
          <w:rFonts w:ascii="Arial" w:hAnsi="Arial" w:cs="Arial"/>
          <w:color w:val="auto"/>
          <w:sz w:val="20"/>
          <w:szCs w:val="20"/>
        </w:rPr>
        <w:t xml:space="preserve">/CPD </w:t>
      </w:r>
      <w:r w:rsidRPr="002C6EB1">
        <w:rPr>
          <w:rFonts w:ascii="Arial" w:hAnsi="Arial" w:cs="Arial"/>
          <w:color w:val="auto"/>
          <w:sz w:val="20"/>
          <w:szCs w:val="20"/>
        </w:rPr>
        <w:t>plan for each individual</w:t>
      </w:r>
      <w:r w:rsidR="006D3B0F">
        <w:rPr>
          <w:rFonts w:ascii="Arial" w:hAnsi="Arial" w:cs="Arial"/>
          <w:color w:val="auto"/>
          <w:sz w:val="20"/>
          <w:szCs w:val="20"/>
        </w:rPr>
        <w:t xml:space="preserve"> staff member identified</w:t>
      </w:r>
      <w:r w:rsidRPr="002C6EB1">
        <w:rPr>
          <w:rFonts w:ascii="Arial" w:hAnsi="Arial" w:cs="Arial"/>
          <w:color w:val="auto"/>
          <w:sz w:val="20"/>
          <w:szCs w:val="20"/>
        </w:rPr>
        <w:t xml:space="preserve">. </w:t>
      </w:r>
    </w:p>
    <w:p w14:paraId="57027CD4" w14:textId="57A01CF5" w:rsidR="00630C16" w:rsidRPr="000F1130" w:rsidRDefault="00630C16" w:rsidP="007F4E51">
      <w:pPr>
        <w:pStyle w:val="Default"/>
        <w:numPr>
          <w:ilvl w:val="0"/>
          <w:numId w:val="15"/>
        </w:numPr>
        <w:spacing w:after="25"/>
        <w:jc w:val="both"/>
        <w:rPr>
          <w:rFonts w:ascii="Arial" w:hAnsi="Arial" w:cs="Arial"/>
          <w:color w:val="auto"/>
          <w:sz w:val="20"/>
          <w:szCs w:val="20"/>
        </w:rPr>
      </w:pPr>
      <w:r w:rsidRPr="002C6EB1">
        <w:rPr>
          <w:rFonts w:ascii="Arial" w:hAnsi="Arial" w:cs="Arial"/>
          <w:color w:val="auto"/>
          <w:sz w:val="20"/>
          <w:szCs w:val="20"/>
        </w:rPr>
        <w:t xml:space="preserve">Health and safety support. </w:t>
      </w:r>
      <w:r w:rsidR="000F1130">
        <w:rPr>
          <w:rFonts w:ascii="Arial" w:hAnsi="Arial" w:cs="Arial"/>
          <w:color w:val="auto"/>
          <w:sz w:val="20"/>
          <w:szCs w:val="20"/>
        </w:rPr>
        <w:t xml:space="preserve">To include Safeguarding and Mental </w:t>
      </w:r>
      <w:r w:rsidR="007F4E51">
        <w:rPr>
          <w:rFonts w:ascii="Arial" w:hAnsi="Arial" w:cs="Arial"/>
          <w:color w:val="auto"/>
          <w:sz w:val="20"/>
          <w:szCs w:val="20"/>
        </w:rPr>
        <w:t>H</w:t>
      </w:r>
      <w:r w:rsidR="000F1130">
        <w:rPr>
          <w:rFonts w:ascii="Arial" w:hAnsi="Arial" w:cs="Arial"/>
          <w:color w:val="auto"/>
          <w:sz w:val="20"/>
          <w:szCs w:val="20"/>
        </w:rPr>
        <w:t>ealth Wellbeing</w:t>
      </w:r>
    </w:p>
    <w:p w14:paraId="091E3C41" w14:textId="3483D785" w:rsidR="00630C16" w:rsidRPr="002C6EB1" w:rsidRDefault="00630C16" w:rsidP="007F4E51">
      <w:pPr>
        <w:pStyle w:val="Default"/>
        <w:numPr>
          <w:ilvl w:val="0"/>
          <w:numId w:val="15"/>
        </w:numPr>
        <w:jc w:val="both"/>
        <w:rPr>
          <w:rFonts w:ascii="Arial" w:hAnsi="Arial" w:cs="Arial"/>
          <w:color w:val="auto"/>
        </w:rPr>
      </w:pPr>
      <w:r w:rsidRPr="002C6EB1">
        <w:rPr>
          <w:rFonts w:ascii="Arial" w:hAnsi="Arial" w:cs="Arial"/>
          <w:color w:val="auto"/>
          <w:sz w:val="20"/>
          <w:szCs w:val="20"/>
        </w:rPr>
        <w:t xml:space="preserve">Accreditation support for those partners who require it </w:t>
      </w:r>
    </w:p>
    <w:p w14:paraId="4EBBE932" w14:textId="5323B9DC" w:rsidR="006F29CF" w:rsidRPr="00680BD8" w:rsidRDefault="006F29CF" w:rsidP="007F4E51">
      <w:pPr>
        <w:pStyle w:val="Default"/>
        <w:numPr>
          <w:ilvl w:val="0"/>
          <w:numId w:val="15"/>
        </w:numPr>
        <w:jc w:val="both"/>
        <w:rPr>
          <w:rFonts w:ascii="Arial" w:hAnsi="Arial" w:cs="Arial"/>
          <w:color w:val="auto"/>
        </w:rPr>
      </w:pPr>
      <w:r w:rsidRPr="00680BD8">
        <w:rPr>
          <w:rFonts w:ascii="Arial" w:hAnsi="Arial" w:cs="Arial"/>
          <w:color w:val="auto"/>
          <w:sz w:val="20"/>
          <w:szCs w:val="20"/>
        </w:rPr>
        <w:t>Provision of continuity in TLA for learners if a provider’s contract is removed?</w:t>
      </w:r>
    </w:p>
    <w:p w14:paraId="1C9E0AA9" w14:textId="243FB493" w:rsidR="006F29CF" w:rsidRPr="00680BD8" w:rsidRDefault="006F29CF" w:rsidP="007F4E51">
      <w:pPr>
        <w:pStyle w:val="Default"/>
        <w:numPr>
          <w:ilvl w:val="0"/>
          <w:numId w:val="15"/>
        </w:numPr>
        <w:jc w:val="both"/>
        <w:rPr>
          <w:rFonts w:ascii="Arial" w:hAnsi="Arial" w:cs="Arial"/>
          <w:color w:val="auto"/>
        </w:rPr>
      </w:pPr>
      <w:r w:rsidRPr="00680BD8">
        <w:rPr>
          <w:rFonts w:ascii="Arial" w:hAnsi="Arial" w:cs="Arial"/>
          <w:color w:val="auto"/>
          <w:sz w:val="20"/>
          <w:szCs w:val="20"/>
        </w:rPr>
        <w:t>Moderation</w:t>
      </w:r>
      <w:r w:rsidR="00680BD8">
        <w:rPr>
          <w:rFonts w:ascii="Arial" w:hAnsi="Arial" w:cs="Arial"/>
          <w:color w:val="auto"/>
          <w:sz w:val="20"/>
          <w:szCs w:val="20"/>
        </w:rPr>
        <w:t xml:space="preserve"> facilities if required</w:t>
      </w:r>
    </w:p>
    <w:p w14:paraId="4E4C756F" w14:textId="29ECE6F3" w:rsidR="006F29CF" w:rsidRPr="00EF7751" w:rsidRDefault="00680BD8" w:rsidP="007F4E51">
      <w:pPr>
        <w:pStyle w:val="Default"/>
        <w:numPr>
          <w:ilvl w:val="0"/>
          <w:numId w:val="15"/>
        </w:numPr>
        <w:jc w:val="both"/>
        <w:rPr>
          <w:rFonts w:ascii="Arial" w:hAnsi="Arial" w:cs="Arial"/>
          <w:color w:val="auto"/>
        </w:rPr>
      </w:pPr>
      <w:r w:rsidRPr="00680BD8">
        <w:rPr>
          <w:rFonts w:ascii="Arial" w:hAnsi="Arial" w:cs="Arial"/>
          <w:color w:val="auto"/>
          <w:sz w:val="20"/>
          <w:szCs w:val="20"/>
        </w:rPr>
        <w:t>Access to Enables E lea</w:t>
      </w:r>
      <w:r w:rsidR="00DE3214">
        <w:rPr>
          <w:rFonts w:ascii="Arial" w:hAnsi="Arial" w:cs="Arial"/>
          <w:color w:val="auto"/>
          <w:sz w:val="20"/>
          <w:szCs w:val="20"/>
        </w:rPr>
        <w:t>rn</w:t>
      </w:r>
      <w:r w:rsidRPr="00680BD8">
        <w:rPr>
          <w:rFonts w:ascii="Arial" w:hAnsi="Arial" w:cs="Arial"/>
          <w:color w:val="auto"/>
          <w:sz w:val="20"/>
          <w:szCs w:val="20"/>
        </w:rPr>
        <w:t>ing platforms and resources</w:t>
      </w:r>
    </w:p>
    <w:p w14:paraId="407F3590" w14:textId="4AC28B8B" w:rsidR="00EF7751" w:rsidRPr="00680BD8" w:rsidRDefault="00EF7751" w:rsidP="007F4E51">
      <w:pPr>
        <w:pStyle w:val="Default"/>
        <w:numPr>
          <w:ilvl w:val="0"/>
          <w:numId w:val="15"/>
        </w:numPr>
        <w:jc w:val="both"/>
        <w:rPr>
          <w:rFonts w:ascii="Arial" w:hAnsi="Arial" w:cs="Arial"/>
          <w:color w:val="auto"/>
        </w:rPr>
      </w:pPr>
      <w:r>
        <w:rPr>
          <w:rFonts w:ascii="Arial" w:hAnsi="Arial" w:cs="Arial"/>
          <w:color w:val="auto"/>
          <w:sz w:val="20"/>
          <w:szCs w:val="20"/>
        </w:rPr>
        <w:t xml:space="preserve">Support with </w:t>
      </w:r>
      <w:r w:rsidR="00B6373F">
        <w:rPr>
          <w:rFonts w:ascii="Arial" w:hAnsi="Arial" w:cs="Arial"/>
          <w:color w:val="auto"/>
          <w:sz w:val="20"/>
          <w:szCs w:val="20"/>
        </w:rPr>
        <w:t>proc</w:t>
      </w:r>
      <w:r w:rsidR="0077427A">
        <w:rPr>
          <w:rFonts w:ascii="Arial" w:hAnsi="Arial" w:cs="Arial"/>
          <w:color w:val="auto"/>
          <w:sz w:val="20"/>
          <w:szCs w:val="20"/>
        </w:rPr>
        <w:t>ess/operational changes in events</w:t>
      </w:r>
      <w:r>
        <w:rPr>
          <w:rFonts w:ascii="Arial" w:hAnsi="Arial" w:cs="Arial"/>
          <w:color w:val="auto"/>
          <w:sz w:val="20"/>
          <w:szCs w:val="20"/>
        </w:rPr>
        <w:t xml:space="preserve"> such as National lock</w:t>
      </w:r>
      <w:r w:rsidR="00DE3214">
        <w:rPr>
          <w:rFonts w:ascii="Arial" w:hAnsi="Arial" w:cs="Arial"/>
          <w:color w:val="auto"/>
          <w:sz w:val="20"/>
          <w:szCs w:val="20"/>
        </w:rPr>
        <w:t>down</w:t>
      </w:r>
    </w:p>
    <w:p w14:paraId="144A5D23" w14:textId="77777777" w:rsidR="00630C16" w:rsidRPr="002C6EB1" w:rsidRDefault="00630C16" w:rsidP="006D54A8">
      <w:pPr>
        <w:pStyle w:val="Default"/>
        <w:jc w:val="both"/>
        <w:rPr>
          <w:rFonts w:ascii="Arial" w:hAnsi="Arial" w:cs="Arial"/>
          <w:color w:val="auto"/>
          <w:sz w:val="20"/>
          <w:szCs w:val="20"/>
        </w:rPr>
      </w:pPr>
    </w:p>
    <w:p w14:paraId="0AEECA8E"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5. Processing and Payment of Invoices </w:t>
      </w:r>
    </w:p>
    <w:p w14:paraId="738610EB" w14:textId="77777777" w:rsidR="00630C16" w:rsidRPr="002C6EB1" w:rsidRDefault="00630C16" w:rsidP="006D54A8">
      <w:pPr>
        <w:pStyle w:val="Default"/>
        <w:jc w:val="both"/>
        <w:rPr>
          <w:rFonts w:ascii="Arial" w:hAnsi="Arial" w:cs="Arial"/>
          <w:color w:val="auto"/>
          <w:sz w:val="20"/>
          <w:szCs w:val="20"/>
        </w:rPr>
      </w:pPr>
    </w:p>
    <w:p w14:paraId="36AA4EC7"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Enrolment forms and the supporting evidence should be received by the end</w:t>
      </w:r>
      <w:r w:rsidRPr="002C6EB1">
        <w:rPr>
          <w:rFonts w:ascii="Arial" w:hAnsi="Arial" w:cs="Arial"/>
          <w:color w:val="auto"/>
          <w:sz w:val="13"/>
          <w:szCs w:val="13"/>
        </w:rPr>
        <w:t xml:space="preserve"> </w:t>
      </w:r>
      <w:r w:rsidRPr="002C6EB1">
        <w:rPr>
          <w:rFonts w:ascii="Arial" w:hAnsi="Arial" w:cs="Arial"/>
          <w:color w:val="auto"/>
          <w:sz w:val="20"/>
          <w:szCs w:val="20"/>
        </w:rPr>
        <w:t>of the month. Any paperwork received after the month end</w:t>
      </w:r>
      <w:r w:rsidRPr="002C6EB1">
        <w:rPr>
          <w:rFonts w:ascii="Arial" w:hAnsi="Arial" w:cs="Arial"/>
          <w:color w:val="auto"/>
          <w:sz w:val="13"/>
          <w:szCs w:val="13"/>
        </w:rPr>
        <w:t xml:space="preserve"> </w:t>
      </w:r>
      <w:r w:rsidRPr="002C6EB1">
        <w:rPr>
          <w:rFonts w:ascii="Arial" w:hAnsi="Arial" w:cs="Arial"/>
          <w:color w:val="auto"/>
          <w:sz w:val="20"/>
          <w:szCs w:val="20"/>
        </w:rPr>
        <w:t xml:space="preserve">will be processed in the following calendar month. </w:t>
      </w:r>
    </w:p>
    <w:p w14:paraId="637805D2" w14:textId="77777777" w:rsidR="00630C16" w:rsidRPr="002C6EB1" w:rsidRDefault="00630C16" w:rsidP="006D54A8">
      <w:pPr>
        <w:pStyle w:val="Default"/>
        <w:jc w:val="both"/>
        <w:rPr>
          <w:rFonts w:ascii="Arial" w:hAnsi="Arial" w:cs="Arial"/>
          <w:color w:val="auto"/>
          <w:sz w:val="20"/>
          <w:szCs w:val="20"/>
        </w:rPr>
      </w:pPr>
    </w:p>
    <w:p w14:paraId="3360F9FD"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6. Policy Review and Publication </w:t>
      </w:r>
    </w:p>
    <w:p w14:paraId="463F29E8" w14:textId="77777777" w:rsidR="00630C16" w:rsidRPr="002C6EB1" w:rsidRDefault="00630C16" w:rsidP="006D54A8">
      <w:pPr>
        <w:pStyle w:val="Default"/>
        <w:jc w:val="both"/>
        <w:rPr>
          <w:rFonts w:ascii="Arial" w:hAnsi="Arial" w:cs="Arial"/>
          <w:color w:val="auto"/>
          <w:sz w:val="20"/>
          <w:szCs w:val="20"/>
        </w:rPr>
      </w:pPr>
    </w:p>
    <w:p w14:paraId="3B7B4B86" w14:textId="19797B4F" w:rsidR="00630C16"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The policy will be reviewed an</w:t>
      </w:r>
      <w:r w:rsidR="00747FBC">
        <w:rPr>
          <w:rFonts w:ascii="Arial" w:hAnsi="Arial" w:cs="Arial"/>
          <w:color w:val="auto"/>
          <w:sz w:val="20"/>
          <w:szCs w:val="20"/>
        </w:rPr>
        <w:t>n</w:t>
      </w:r>
      <w:r w:rsidRPr="002C6EB1">
        <w:rPr>
          <w:rFonts w:ascii="Arial" w:hAnsi="Arial" w:cs="Arial"/>
          <w:color w:val="auto"/>
          <w:sz w:val="20"/>
          <w:szCs w:val="20"/>
        </w:rPr>
        <w:t>ually and any changes notified to sub-contractors in writing. The policy is available on Enable’s website</w:t>
      </w:r>
      <w:r w:rsidR="000913D9">
        <w:rPr>
          <w:rFonts w:ascii="Arial" w:hAnsi="Arial" w:cs="Arial"/>
          <w:color w:val="auto"/>
          <w:sz w:val="20"/>
          <w:szCs w:val="20"/>
        </w:rPr>
        <w:t>.</w:t>
      </w:r>
    </w:p>
    <w:p w14:paraId="2552EAA0" w14:textId="77777777" w:rsidR="00747FBC" w:rsidRPr="002C6EB1" w:rsidRDefault="00747FBC" w:rsidP="006D54A8">
      <w:pPr>
        <w:pStyle w:val="Default"/>
        <w:jc w:val="both"/>
        <w:rPr>
          <w:rFonts w:ascii="Arial" w:hAnsi="Arial" w:cs="Arial"/>
          <w:color w:val="auto"/>
          <w:sz w:val="20"/>
          <w:szCs w:val="20"/>
        </w:rPr>
      </w:pPr>
    </w:p>
    <w:p w14:paraId="7C5A5FC7" w14:textId="77777777" w:rsidR="00630C16" w:rsidRPr="002C6EB1" w:rsidRDefault="00630C16" w:rsidP="006D54A8">
      <w:pPr>
        <w:pStyle w:val="Default"/>
        <w:jc w:val="both"/>
        <w:rPr>
          <w:rFonts w:ascii="Arial" w:hAnsi="Arial" w:cs="Arial"/>
          <w:color w:val="auto"/>
          <w:sz w:val="20"/>
          <w:szCs w:val="20"/>
        </w:rPr>
      </w:pPr>
      <w:r w:rsidRPr="002C6EB1">
        <w:rPr>
          <w:rFonts w:ascii="Arial" w:hAnsi="Arial" w:cs="Arial"/>
          <w:color w:val="auto"/>
          <w:sz w:val="20"/>
          <w:szCs w:val="20"/>
        </w:rPr>
        <w:t xml:space="preserve">7. Additional Services </w:t>
      </w:r>
    </w:p>
    <w:p w14:paraId="3A0FF5F2" w14:textId="77777777" w:rsidR="00630C16" w:rsidRPr="002C6EB1" w:rsidRDefault="00630C16" w:rsidP="006D54A8">
      <w:pPr>
        <w:pStyle w:val="Default"/>
        <w:jc w:val="both"/>
        <w:rPr>
          <w:rFonts w:ascii="Arial" w:hAnsi="Arial" w:cs="Arial"/>
          <w:color w:val="auto"/>
          <w:sz w:val="20"/>
          <w:szCs w:val="20"/>
        </w:rPr>
      </w:pPr>
    </w:p>
    <w:p w14:paraId="14D4A850" w14:textId="77777777" w:rsidR="00630C16" w:rsidRPr="002C6EB1" w:rsidRDefault="00630C16" w:rsidP="006D54A8">
      <w:pPr>
        <w:jc w:val="both"/>
      </w:pPr>
      <w:r w:rsidRPr="002C6EB1">
        <w:t>In addition to the services listed above, which form part of the standard management functions of Enable contracts, sub-contractors also have access to a wide range of subsidised services available through the consortium. This includes training sessions, use of Enable’s accreditation service for non-contracted delivery, staff development opportunities, marketing support, room hire and consultancy.</w:t>
      </w:r>
    </w:p>
    <w:p w14:paraId="5630AD66" w14:textId="77777777" w:rsidR="00630C16" w:rsidRPr="002C6EB1" w:rsidRDefault="00630C16" w:rsidP="006D54A8">
      <w:pPr>
        <w:jc w:val="both"/>
      </w:pPr>
    </w:p>
    <w:p w14:paraId="61829076" w14:textId="77777777" w:rsidR="00EC33E2" w:rsidRPr="002C6EB1" w:rsidRDefault="00EC33E2" w:rsidP="006D54A8">
      <w:pPr>
        <w:jc w:val="both"/>
      </w:pPr>
    </w:p>
    <w:p w14:paraId="2BA226A1" w14:textId="77777777" w:rsidR="00EC33E2" w:rsidRPr="002C6EB1" w:rsidRDefault="00EC33E2" w:rsidP="006D54A8">
      <w:pPr>
        <w:jc w:val="both"/>
      </w:pPr>
    </w:p>
    <w:p w14:paraId="015DB398" w14:textId="35A8CE28" w:rsidR="00EC33E2" w:rsidRPr="002C6EB1" w:rsidRDefault="00EC33E2" w:rsidP="006D54A8">
      <w:pPr>
        <w:jc w:val="both"/>
        <w:rPr>
          <w:b/>
        </w:rPr>
      </w:pPr>
      <w:r w:rsidRPr="002C6EB1">
        <w:rPr>
          <w:b/>
        </w:rPr>
        <w:t>Signed</w:t>
      </w:r>
      <w:r w:rsidR="00D74DDA">
        <w:rPr>
          <w:b/>
        </w:rPr>
        <w:t xml:space="preserve">:          </w:t>
      </w:r>
      <w:r w:rsidR="0061027A">
        <w:rPr>
          <w:b/>
        </w:rPr>
        <w:t xml:space="preserve">  </w:t>
      </w:r>
      <w:r w:rsidR="002A794A" w:rsidRPr="002A794A">
        <w:rPr>
          <w:noProof/>
        </w:rPr>
        <w:t xml:space="preserve"> </w:t>
      </w:r>
      <w:r w:rsidR="002A794A" w:rsidRPr="00132781">
        <w:rPr>
          <w:noProof/>
        </w:rPr>
        <w:drawing>
          <wp:inline distT="0" distB="0" distL="0" distR="0" wp14:anchorId="1B46B302" wp14:editId="217C2C54">
            <wp:extent cx="1228725" cy="352394"/>
            <wp:effectExtent l="0" t="0" r="0" b="0"/>
            <wp:docPr id="7" name="Picture 7" descr="C:\Users\ceo\AppData\Local\Microsoft\Windows\Temporary Internet Files\Content.Outlook\S1FVW22J\Ian 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o\AppData\Local\Microsoft\Windows\Temporary Internet Files\Content.Outlook\S1FVW22J\Ian Newt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807" cy="356719"/>
                    </a:xfrm>
                    <a:prstGeom prst="rect">
                      <a:avLst/>
                    </a:prstGeom>
                    <a:noFill/>
                    <a:ln>
                      <a:noFill/>
                    </a:ln>
                  </pic:spPr>
                </pic:pic>
              </a:graphicData>
            </a:graphic>
          </wp:inline>
        </w:drawing>
      </w:r>
    </w:p>
    <w:p w14:paraId="17AD93B2" w14:textId="77777777" w:rsidR="00EC33E2" w:rsidRPr="002C6EB1" w:rsidRDefault="00EC33E2" w:rsidP="006D54A8">
      <w:pPr>
        <w:jc w:val="both"/>
        <w:rPr>
          <w:b/>
        </w:rPr>
      </w:pPr>
    </w:p>
    <w:p w14:paraId="0DE4B5B7" w14:textId="77777777" w:rsidR="00EC33E2" w:rsidRPr="002C6EB1" w:rsidRDefault="00EC33E2" w:rsidP="006D54A8">
      <w:pPr>
        <w:jc w:val="both"/>
        <w:rPr>
          <w:b/>
        </w:rPr>
      </w:pPr>
    </w:p>
    <w:p w14:paraId="1DA2980E" w14:textId="55916468" w:rsidR="00EC33E2" w:rsidRPr="002C6EB1" w:rsidRDefault="00EC33E2" w:rsidP="006D54A8">
      <w:pPr>
        <w:jc w:val="both"/>
        <w:rPr>
          <w:b/>
        </w:rPr>
      </w:pPr>
      <w:r w:rsidRPr="002C6EB1">
        <w:rPr>
          <w:b/>
        </w:rPr>
        <w:t>Position:</w:t>
      </w:r>
      <w:r w:rsidR="00D74DDA">
        <w:rPr>
          <w:b/>
        </w:rPr>
        <w:t xml:space="preserve">           </w:t>
      </w:r>
      <w:r w:rsidR="009B1AC6">
        <w:rPr>
          <w:b/>
        </w:rPr>
        <w:t>CEO</w:t>
      </w:r>
    </w:p>
    <w:p w14:paraId="66204FF1" w14:textId="77777777" w:rsidR="00EC33E2" w:rsidRPr="002C6EB1" w:rsidRDefault="00EC33E2" w:rsidP="006D54A8">
      <w:pPr>
        <w:jc w:val="both"/>
        <w:rPr>
          <w:b/>
        </w:rPr>
      </w:pPr>
    </w:p>
    <w:p w14:paraId="2DBF0D7D" w14:textId="77777777" w:rsidR="00EC33E2" w:rsidRPr="002C6EB1" w:rsidRDefault="00EC33E2" w:rsidP="006D54A8">
      <w:pPr>
        <w:jc w:val="both"/>
        <w:rPr>
          <w:b/>
        </w:rPr>
      </w:pPr>
    </w:p>
    <w:p w14:paraId="6B62F1B3" w14:textId="21C251B9" w:rsidR="00EC33E2" w:rsidRDefault="00EC33E2" w:rsidP="006D54A8">
      <w:pPr>
        <w:jc w:val="both"/>
      </w:pPr>
      <w:r w:rsidRPr="002C6EB1">
        <w:rPr>
          <w:b/>
        </w:rPr>
        <w:t>Date:</w:t>
      </w:r>
      <w:r w:rsidR="00D74DDA">
        <w:rPr>
          <w:b/>
        </w:rPr>
        <w:t xml:space="preserve">                 </w:t>
      </w:r>
      <w:r w:rsidR="00AC6A44">
        <w:rPr>
          <w:b/>
        </w:rPr>
        <w:t>0</w:t>
      </w:r>
      <w:r w:rsidR="000913D9">
        <w:rPr>
          <w:b/>
        </w:rPr>
        <w:t>7</w:t>
      </w:r>
      <w:r w:rsidR="00AC6A44">
        <w:rPr>
          <w:b/>
        </w:rPr>
        <w:t>/</w:t>
      </w:r>
      <w:r w:rsidR="008C5A0D">
        <w:rPr>
          <w:b/>
        </w:rPr>
        <w:t>09</w:t>
      </w:r>
      <w:r w:rsidR="009B1AC6">
        <w:rPr>
          <w:b/>
        </w:rPr>
        <w:t>/202</w:t>
      </w:r>
      <w:r w:rsidR="000913D9">
        <w:rPr>
          <w:b/>
        </w:rPr>
        <w:t>2</w:t>
      </w:r>
    </w:p>
    <w:sectPr w:rsidR="00EC33E2" w:rsidSect="00630C16">
      <w:footerReference w:type="default" r:id="rId12"/>
      <w:pgSz w:w="11906" w:h="16838"/>
      <w:pgMar w:top="638" w:right="1418" w:bottom="900" w:left="1418" w:header="180"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C34E" w14:textId="77777777" w:rsidR="00CF4375" w:rsidRDefault="00CF4375" w:rsidP="00CF4375">
      <w:r>
        <w:separator/>
      </w:r>
    </w:p>
  </w:endnote>
  <w:endnote w:type="continuationSeparator" w:id="0">
    <w:p w14:paraId="680A4E5D" w14:textId="77777777" w:rsidR="00CF4375" w:rsidRDefault="00CF4375" w:rsidP="00CF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FBDA" w14:textId="2A0896F3" w:rsidR="00527946" w:rsidRDefault="004B659E" w:rsidP="00782D92">
    <w:pPr>
      <w:pStyle w:val="Footer"/>
      <w:tabs>
        <w:tab w:val="clear" w:pos="4153"/>
        <w:tab w:val="clear" w:pos="8306"/>
        <w:tab w:val="right" w:pos="8789"/>
      </w:tabs>
    </w:pPr>
    <w:r>
      <w:t xml:space="preserve">Version: </w:t>
    </w:r>
    <w:r w:rsidR="000913D9">
      <w:t>2</w:t>
    </w:r>
    <w:r w:rsidR="0061027A">
      <w:t xml:space="preserve">                                                             </w:t>
    </w:r>
    <w:r w:rsidR="00782D92">
      <w:tab/>
    </w:r>
    <w:r w:rsidR="00F12126">
      <w:t>Da</w:t>
    </w:r>
    <w:r w:rsidR="00527946">
      <w:t xml:space="preserve">te: </w:t>
    </w:r>
    <w:r w:rsidR="00AC6A44">
      <w:t>0</w:t>
    </w:r>
    <w:r w:rsidR="008D1303">
      <w:t>7</w:t>
    </w:r>
    <w:r w:rsidR="00E347EF">
      <w:t xml:space="preserve"> S</w:t>
    </w:r>
    <w:r w:rsidR="00EB6765">
      <w:t xml:space="preserve">eptember </w:t>
    </w:r>
    <w:r w:rsidR="00AC6A44">
      <w:t>202</w:t>
    </w:r>
    <w:r w:rsidR="008D130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9836" w14:textId="77777777" w:rsidR="00CF4375" w:rsidRDefault="00CF4375" w:rsidP="00CF4375">
      <w:r>
        <w:separator/>
      </w:r>
    </w:p>
  </w:footnote>
  <w:footnote w:type="continuationSeparator" w:id="0">
    <w:p w14:paraId="296FEF7D" w14:textId="77777777" w:rsidR="00CF4375" w:rsidRDefault="00CF4375" w:rsidP="00CF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DF1"/>
    <w:multiLevelType w:val="hybridMultilevel"/>
    <w:tmpl w:val="2B8E2A34"/>
    <w:lvl w:ilvl="0" w:tplc="0809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050529"/>
    <w:multiLevelType w:val="hybridMultilevel"/>
    <w:tmpl w:val="A698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3877"/>
    <w:multiLevelType w:val="hybridMultilevel"/>
    <w:tmpl w:val="B6E863C0"/>
    <w:lvl w:ilvl="0" w:tplc="0809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18764A"/>
    <w:multiLevelType w:val="hybridMultilevel"/>
    <w:tmpl w:val="B2A02266"/>
    <w:lvl w:ilvl="0" w:tplc="B21A17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22370"/>
    <w:multiLevelType w:val="hybridMultilevel"/>
    <w:tmpl w:val="6416376A"/>
    <w:lvl w:ilvl="0" w:tplc="B21A17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01F0"/>
    <w:multiLevelType w:val="multilevel"/>
    <w:tmpl w:val="24A42CF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97558"/>
    <w:multiLevelType w:val="hybridMultilevel"/>
    <w:tmpl w:val="FECC9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D558D"/>
    <w:multiLevelType w:val="hybridMultilevel"/>
    <w:tmpl w:val="7A00E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D1A64"/>
    <w:multiLevelType w:val="hybridMultilevel"/>
    <w:tmpl w:val="1BE46164"/>
    <w:lvl w:ilvl="0" w:tplc="B21A172E">
      <w:numFmt w:val="bullet"/>
      <w:lvlText w:val=""/>
      <w:lvlJc w:val="left"/>
      <w:pPr>
        <w:ind w:left="928"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E7B12"/>
    <w:multiLevelType w:val="hybridMultilevel"/>
    <w:tmpl w:val="727C5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1D0D54"/>
    <w:multiLevelType w:val="hybridMultilevel"/>
    <w:tmpl w:val="FFA2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21311"/>
    <w:multiLevelType w:val="hybridMultilevel"/>
    <w:tmpl w:val="A8E4BB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F91704"/>
    <w:multiLevelType w:val="hybridMultilevel"/>
    <w:tmpl w:val="E0641906"/>
    <w:lvl w:ilvl="0" w:tplc="ABC8B4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36263"/>
    <w:multiLevelType w:val="hybridMultilevel"/>
    <w:tmpl w:val="F002FB8E"/>
    <w:lvl w:ilvl="0" w:tplc="0809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ED7DB4"/>
    <w:multiLevelType w:val="hybridMultilevel"/>
    <w:tmpl w:val="8A3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349131">
    <w:abstractNumId w:val="6"/>
  </w:num>
  <w:num w:numId="2" w16cid:durableId="1387492079">
    <w:abstractNumId w:val="5"/>
  </w:num>
  <w:num w:numId="3" w16cid:durableId="132018871">
    <w:abstractNumId w:val="9"/>
  </w:num>
  <w:num w:numId="4" w16cid:durableId="862355009">
    <w:abstractNumId w:val="7"/>
  </w:num>
  <w:num w:numId="5" w16cid:durableId="1020204463">
    <w:abstractNumId w:val="1"/>
  </w:num>
  <w:num w:numId="6" w16cid:durableId="1267663837">
    <w:abstractNumId w:val="14"/>
  </w:num>
  <w:num w:numId="7" w16cid:durableId="1650941591">
    <w:abstractNumId w:val="8"/>
  </w:num>
  <w:num w:numId="8" w16cid:durableId="1321814648">
    <w:abstractNumId w:val="4"/>
  </w:num>
  <w:num w:numId="9" w16cid:durableId="1652635632">
    <w:abstractNumId w:val="3"/>
  </w:num>
  <w:num w:numId="10" w16cid:durableId="704257821">
    <w:abstractNumId w:val="10"/>
  </w:num>
  <w:num w:numId="11" w16cid:durableId="673848750">
    <w:abstractNumId w:val="12"/>
  </w:num>
  <w:num w:numId="12" w16cid:durableId="947077726">
    <w:abstractNumId w:val="11"/>
  </w:num>
  <w:num w:numId="13" w16cid:durableId="1264996834">
    <w:abstractNumId w:val="0"/>
  </w:num>
  <w:num w:numId="14" w16cid:durableId="1679111290">
    <w:abstractNumId w:val="2"/>
  </w:num>
  <w:num w:numId="15" w16cid:durableId="1267040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8D"/>
    <w:rsid w:val="000179DD"/>
    <w:rsid w:val="000913D9"/>
    <w:rsid w:val="000C2A1A"/>
    <w:rsid w:val="000F1130"/>
    <w:rsid w:val="0011334E"/>
    <w:rsid w:val="0017040B"/>
    <w:rsid w:val="001B41EE"/>
    <w:rsid w:val="001B43EF"/>
    <w:rsid w:val="001C3BD6"/>
    <w:rsid w:val="001C569A"/>
    <w:rsid w:val="00205B22"/>
    <w:rsid w:val="00223711"/>
    <w:rsid w:val="00274564"/>
    <w:rsid w:val="00282DB9"/>
    <w:rsid w:val="002A1915"/>
    <w:rsid w:val="002A794A"/>
    <w:rsid w:val="002C483C"/>
    <w:rsid w:val="002C6EB1"/>
    <w:rsid w:val="00323372"/>
    <w:rsid w:val="00392D16"/>
    <w:rsid w:val="003B04E0"/>
    <w:rsid w:val="003B12D1"/>
    <w:rsid w:val="00401DF1"/>
    <w:rsid w:val="004240BE"/>
    <w:rsid w:val="00441EB2"/>
    <w:rsid w:val="00462CE9"/>
    <w:rsid w:val="004B659E"/>
    <w:rsid w:val="004D56A3"/>
    <w:rsid w:val="005069A6"/>
    <w:rsid w:val="00527946"/>
    <w:rsid w:val="00557219"/>
    <w:rsid w:val="005575CA"/>
    <w:rsid w:val="005668D2"/>
    <w:rsid w:val="005904E1"/>
    <w:rsid w:val="005A400D"/>
    <w:rsid w:val="005B1FB5"/>
    <w:rsid w:val="005E0E44"/>
    <w:rsid w:val="0061027A"/>
    <w:rsid w:val="006250D1"/>
    <w:rsid w:val="00630C16"/>
    <w:rsid w:val="00646472"/>
    <w:rsid w:val="00652A8D"/>
    <w:rsid w:val="0066087C"/>
    <w:rsid w:val="00680BD8"/>
    <w:rsid w:val="00687E9D"/>
    <w:rsid w:val="006D3B0F"/>
    <w:rsid w:val="006D54A8"/>
    <w:rsid w:val="006F1A98"/>
    <w:rsid w:val="006F29CF"/>
    <w:rsid w:val="00700E51"/>
    <w:rsid w:val="0074099F"/>
    <w:rsid w:val="00747FBC"/>
    <w:rsid w:val="0077427A"/>
    <w:rsid w:val="00782D92"/>
    <w:rsid w:val="007F3D58"/>
    <w:rsid w:val="007F4E51"/>
    <w:rsid w:val="00816FA5"/>
    <w:rsid w:val="008278C0"/>
    <w:rsid w:val="008C5A0D"/>
    <w:rsid w:val="008D1303"/>
    <w:rsid w:val="009A28F5"/>
    <w:rsid w:val="009B1AC6"/>
    <w:rsid w:val="00A00B81"/>
    <w:rsid w:val="00A66F14"/>
    <w:rsid w:val="00A737F1"/>
    <w:rsid w:val="00A91C2E"/>
    <w:rsid w:val="00AB3041"/>
    <w:rsid w:val="00AB512C"/>
    <w:rsid w:val="00AC6A44"/>
    <w:rsid w:val="00AC6D84"/>
    <w:rsid w:val="00B20D1B"/>
    <w:rsid w:val="00B27282"/>
    <w:rsid w:val="00B33A32"/>
    <w:rsid w:val="00B6373F"/>
    <w:rsid w:val="00B81E71"/>
    <w:rsid w:val="00B9061A"/>
    <w:rsid w:val="00C034EF"/>
    <w:rsid w:val="00C15CCC"/>
    <w:rsid w:val="00C554F0"/>
    <w:rsid w:val="00C71661"/>
    <w:rsid w:val="00C93A63"/>
    <w:rsid w:val="00CA612B"/>
    <w:rsid w:val="00CF4154"/>
    <w:rsid w:val="00CF4375"/>
    <w:rsid w:val="00CF6FBC"/>
    <w:rsid w:val="00D246F1"/>
    <w:rsid w:val="00D37D0F"/>
    <w:rsid w:val="00D454C6"/>
    <w:rsid w:val="00D47FD6"/>
    <w:rsid w:val="00D7325A"/>
    <w:rsid w:val="00D74DDA"/>
    <w:rsid w:val="00DE3214"/>
    <w:rsid w:val="00DE4DAD"/>
    <w:rsid w:val="00E0410F"/>
    <w:rsid w:val="00E347EF"/>
    <w:rsid w:val="00E73D25"/>
    <w:rsid w:val="00EA78C9"/>
    <w:rsid w:val="00EB6765"/>
    <w:rsid w:val="00EC33E2"/>
    <w:rsid w:val="00EC42BD"/>
    <w:rsid w:val="00EF4747"/>
    <w:rsid w:val="00EF7751"/>
    <w:rsid w:val="00F12126"/>
    <w:rsid w:val="00F33CDD"/>
    <w:rsid w:val="00F77303"/>
    <w:rsid w:val="00FA7081"/>
    <w:rsid w:val="0C1751A7"/>
    <w:rsid w:val="355B08A1"/>
    <w:rsid w:val="6EA2C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9727"/>
  <w15:docId w15:val="{1BB5200A-5D8C-47A8-8B30-1A2C22B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8D"/>
    <w:pPr>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A8D"/>
    <w:pPr>
      <w:tabs>
        <w:tab w:val="center" w:pos="4153"/>
        <w:tab w:val="right" w:pos="8306"/>
      </w:tabs>
    </w:pPr>
  </w:style>
  <w:style w:type="character" w:customStyle="1" w:styleId="HeaderChar">
    <w:name w:val="Header Char"/>
    <w:basedOn w:val="DefaultParagraphFont"/>
    <w:link w:val="Header"/>
    <w:rsid w:val="00652A8D"/>
    <w:rPr>
      <w:rFonts w:ascii="Arial" w:eastAsia="Times New Roman" w:hAnsi="Arial" w:cs="Arial"/>
      <w:sz w:val="20"/>
      <w:szCs w:val="20"/>
      <w:lang w:val="en-GB" w:eastAsia="en-GB"/>
    </w:rPr>
  </w:style>
  <w:style w:type="paragraph" w:styleId="Footer">
    <w:name w:val="footer"/>
    <w:basedOn w:val="Normal"/>
    <w:link w:val="FooterChar"/>
    <w:rsid w:val="00652A8D"/>
    <w:pPr>
      <w:tabs>
        <w:tab w:val="center" w:pos="4153"/>
        <w:tab w:val="right" w:pos="8306"/>
      </w:tabs>
    </w:pPr>
  </w:style>
  <w:style w:type="character" w:customStyle="1" w:styleId="FooterChar">
    <w:name w:val="Footer Char"/>
    <w:basedOn w:val="DefaultParagraphFont"/>
    <w:link w:val="Footer"/>
    <w:rsid w:val="00652A8D"/>
    <w:rPr>
      <w:rFonts w:ascii="Arial" w:eastAsia="Times New Roman" w:hAnsi="Arial" w:cs="Arial"/>
      <w:sz w:val="20"/>
      <w:szCs w:val="20"/>
      <w:lang w:val="en-GB" w:eastAsia="en-GB"/>
    </w:rPr>
  </w:style>
  <w:style w:type="paragraph" w:styleId="BodyText">
    <w:name w:val="Body Text"/>
    <w:basedOn w:val="Normal"/>
    <w:link w:val="BodyTextChar"/>
    <w:rsid w:val="00652A8D"/>
    <w:pPr>
      <w:pBdr>
        <w:top w:val="double" w:sz="4" w:space="1" w:color="auto"/>
        <w:left w:val="double" w:sz="4" w:space="4" w:color="auto"/>
        <w:bottom w:val="double" w:sz="4" w:space="1" w:color="auto"/>
        <w:right w:val="double" w:sz="4" w:space="4" w:color="auto"/>
      </w:pBdr>
    </w:pPr>
    <w:rPr>
      <w:rFonts w:cs="Times New Roman"/>
      <w:sz w:val="28"/>
      <w:lang w:eastAsia="en-US"/>
    </w:rPr>
  </w:style>
  <w:style w:type="character" w:customStyle="1" w:styleId="BodyTextChar">
    <w:name w:val="Body Text Char"/>
    <w:basedOn w:val="DefaultParagraphFont"/>
    <w:link w:val="BodyText"/>
    <w:rsid w:val="00652A8D"/>
    <w:rPr>
      <w:rFonts w:ascii="Arial" w:eastAsia="Times New Roman" w:hAnsi="Arial" w:cs="Times New Roman"/>
      <w:sz w:val="28"/>
      <w:szCs w:val="20"/>
      <w:lang w:val="en-GB"/>
    </w:rPr>
  </w:style>
  <w:style w:type="paragraph" w:styleId="BalloonText">
    <w:name w:val="Balloon Text"/>
    <w:basedOn w:val="Normal"/>
    <w:link w:val="BalloonTextChar"/>
    <w:uiPriority w:val="99"/>
    <w:semiHidden/>
    <w:unhideWhenUsed/>
    <w:rsid w:val="00652A8D"/>
    <w:rPr>
      <w:rFonts w:ascii="Tahoma" w:hAnsi="Tahoma" w:cs="Tahoma"/>
      <w:sz w:val="16"/>
      <w:szCs w:val="16"/>
    </w:rPr>
  </w:style>
  <w:style w:type="character" w:customStyle="1" w:styleId="BalloonTextChar">
    <w:name w:val="Balloon Text Char"/>
    <w:basedOn w:val="DefaultParagraphFont"/>
    <w:link w:val="BalloonText"/>
    <w:uiPriority w:val="99"/>
    <w:semiHidden/>
    <w:rsid w:val="00652A8D"/>
    <w:rPr>
      <w:rFonts w:ascii="Tahoma" w:eastAsia="Times New Roman" w:hAnsi="Tahoma" w:cs="Tahoma"/>
      <w:sz w:val="16"/>
      <w:szCs w:val="16"/>
      <w:lang w:val="en-GB" w:eastAsia="en-GB"/>
    </w:rPr>
  </w:style>
  <w:style w:type="paragraph" w:styleId="ListParagraph">
    <w:name w:val="List Paragraph"/>
    <w:basedOn w:val="Normal"/>
    <w:uiPriority w:val="34"/>
    <w:qFormat/>
    <w:rsid w:val="00C71661"/>
    <w:pPr>
      <w:ind w:left="720"/>
      <w:contextualSpacing/>
    </w:pPr>
  </w:style>
  <w:style w:type="table" w:styleId="TableGrid">
    <w:name w:val="Table Grid"/>
    <w:basedOn w:val="TableNormal"/>
    <w:uiPriority w:val="59"/>
    <w:rsid w:val="00AC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04E0"/>
    <w:rPr>
      <w:b/>
      <w:bCs/>
    </w:rPr>
  </w:style>
  <w:style w:type="paragraph" w:customStyle="1" w:styleId="Default">
    <w:name w:val="Default"/>
    <w:rsid w:val="00687E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80327">
      <w:bodyDiv w:val="1"/>
      <w:marLeft w:val="0"/>
      <w:marRight w:val="0"/>
      <w:marTop w:val="0"/>
      <w:marBottom w:val="0"/>
      <w:divBdr>
        <w:top w:val="none" w:sz="0" w:space="0" w:color="auto"/>
        <w:left w:val="none" w:sz="0" w:space="0" w:color="auto"/>
        <w:bottom w:val="none" w:sz="0" w:space="0" w:color="auto"/>
        <w:right w:val="none" w:sz="0" w:space="0" w:color="auto"/>
      </w:divBdr>
      <w:divsChild>
        <w:div w:id="355617088">
          <w:marLeft w:val="0"/>
          <w:marRight w:val="0"/>
          <w:marTop w:val="0"/>
          <w:marBottom w:val="0"/>
          <w:divBdr>
            <w:top w:val="none" w:sz="0" w:space="0" w:color="auto"/>
            <w:left w:val="none" w:sz="0" w:space="0" w:color="auto"/>
            <w:bottom w:val="none" w:sz="0" w:space="0" w:color="auto"/>
            <w:right w:val="none" w:sz="0" w:space="0" w:color="auto"/>
          </w:divBdr>
          <w:divsChild>
            <w:div w:id="397438687">
              <w:marLeft w:val="0"/>
              <w:marRight w:val="0"/>
              <w:marTop w:val="0"/>
              <w:marBottom w:val="0"/>
              <w:divBdr>
                <w:top w:val="none" w:sz="0" w:space="0" w:color="auto"/>
                <w:left w:val="none" w:sz="0" w:space="0" w:color="auto"/>
                <w:bottom w:val="none" w:sz="0" w:space="0" w:color="auto"/>
                <w:right w:val="none" w:sz="0" w:space="0" w:color="auto"/>
              </w:divBdr>
              <w:divsChild>
                <w:div w:id="211187981">
                  <w:marLeft w:val="0"/>
                  <w:marRight w:val="0"/>
                  <w:marTop w:val="0"/>
                  <w:marBottom w:val="0"/>
                  <w:divBdr>
                    <w:top w:val="none" w:sz="0" w:space="0" w:color="auto"/>
                    <w:left w:val="none" w:sz="0" w:space="0" w:color="auto"/>
                    <w:bottom w:val="none" w:sz="0" w:space="0" w:color="auto"/>
                    <w:right w:val="none" w:sz="0" w:space="0" w:color="auto"/>
                  </w:divBdr>
                  <w:divsChild>
                    <w:div w:id="1649476415">
                      <w:marLeft w:val="0"/>
                      <w:marRight w:val="0"/>
                      <w:marTop w:val="0"/>
                      <w:marBottom w:val="0"/>
                      <w:divBdr>
                        <w:top w:val="none" w:sz="0" w:space="0" w:color="auto"/>
                        <w:left w:val="none" w:sz="0" w:space="0" w:color="auto"/>
                        <w:bottom w:val="none" w:sz="0" w:space="0" w:color="auto"/>
                        <w:right w:val="none" w:sz="0" w:space="0" w:color="auto"/>
                      </w:divBdr>
                      <w:divsChild>
                        <w:div w:id="317422833">
                          <w:marLeft w:val="0"/>
                          <w:marRight w:val="0"/>
                          <w:marTop w:val="0"/>
                          <w:marBottom w:val="0"/>
                          <w:divBdr>
                            <w:top w:val="none" w:sz="0" w:space="0" w:color="auto"/>
                            <w:left w:val="none" w:sz="0" w:space="0" w:color="auto"/>
                            <w:bottom w:val="none" w:sz="0" w:space="0" w:color="auto"/>
                            <w:right w:val="none" w:sz="0" w:space="0" w:color="auto"/>
                          </w:divBdr>
                          <w:divsChild>
                            <w:div w:id="339352238">
                              <w:marLeft w:val="0"/>
                              <w:marRight w:val="0"/>
                              <w:marTop w:val="0"/>
                              <w:marBottom w:val="0"/>
                              <w:divBdr>
                                <w:top w:val="none" w:sz="0" w:space="0" w:color="auto"/>
                                <w:left w:val="none" w:sz="0" w:space="0" w:color="auto"/>
                                <w:bottom w:val="none" w:sz="0" w:space="0" w:color="auto"/>
                                <w:right w:val="none" w:sz="0" w:space="0" w:color="auto"/>
                              </w:divBdr>
                              <w:divsChild>
                                <w:div w:id="518588040">
                                  <w:marLeft w:val="0"/>
                                  <w:marRight w:val="0"/>
                                  <w:marTop w:val="0"/>
                                  <w:marBottom w:val="0"/>
                                  <w:divBdr>
                                    <w:top w:val="none" w:sz="0" w:space="0" w:color="auto"/>
                                    <w:left w:val="none" w:sz="0" w:space="0" w:color="auto"/>
                                    <w:bottom w:val="none" w:sz="0" w:space="0" w:color="auto"/>
                                    <w:right w:val="none" w:sz="0" w:space="0" w:color="auto"/>
                                  </w:divBdr>
                                  <w:divsChild>
                                    <w:div w:id="259265478">
                                      <w:marLeft w:val="0"/>
                                      <w:marRight w:val="0"/>
                                      <w:marTop w:val="0"/>
                                      <w:marBottom w:val="0"/>
                                      <w:divBdr>
                                        <w:top w:val="none" w:sz="0" w:space="0" w:color="auto"/>
                                        <w:left w:val="none" w:sz="0" w:space="0" w:color="auto"/>
                                        <w:bottom w:val="none" w:sz="0" w:space="0" w:color="auto"/>
                                        <w:right w:val="none" w:sz="0" w:space="0" w:color="auto"/>
                                      </w:divBdr>
                                      <w:divsChild>
                                        <w:div w:id="654066620">
                                          <w:marLeft w:val="0"/>
                                          <w:marRight w:val="0"/>
                                          <w:marTop w:val="0"/>
                                          <w:marBottom w:val="0"/>
                                          <w:divBdr>
                                            <w:top w:val="none" w:sz="0" w:space="0" w:color="auto"/>
                                            <w:left w:val="none" w:sz="0" w:space="0" w:color="auto"/>
                                            <w:bottom w:val="none" w:sz="0" w:space="0" w:color="auto"/>
                                            <w:right w:val="none" w:sz="0" w:space="0" w:color="auto"/>
                                          </w:divBdr>
                                          <w:divsChild>
                                            <w:div w:id="773980998">
                                              <w:marLeft w:val="0"/>
                                              <w:marRight w:val="0"/>
                                              <w:marTop w:val="0"/>
                                              <w:marBottom w:val="0"/>
                                              <w:divBdr>
                                                <w:top w:val="none" w:sz="0" w:space="0" w:color="auto"/>
                                                <w:left w:val="none" w:sz="0" w:space="0" w:color="auto"/>
                                                <w:bottom w:val="none" w:sz="0" w:space="0" w:color="auto"/>
                                                <w:right w:val="none" w:sz="0" w:space="0" w:color="auto"/>
                                              </w:divBdr>
                                              <w:divsChild>
                                                <w:div w:id="1131630939">
                                                  <w:marLeft w:val="0"/>
                                                  <w:marRight w:val="0"/>
                                                  <w:marTop w:val="0"/>
                                                  <w:marBottom w:val="0"/>
                                                  <w:divBdr>
                                                    <w:top w:val="none" w:sz="0" w:space="0" w:color="auto"/>
                                                    <w:left w:val="none" w:sz="0" w:space="0" w:color="auto"/>
                                                    <w:bottom w:val="none" w:sz="0" w:space="0" w:color="auto"/>
                                                    <w:right w:val="none" w:sz="0" w:space="0" w:color="auto"/>
                                                  </w:divBdr>
                                                  <w:divsChild>
                                                    <w:div w:id="193154629">
                                                      <w:marLeft w:val="0"/>
                                                      <w:marRight w:val="0"/>
                                                      <w:marTop w:val="0"/>
                                                      <w:marBottom w:val="0"/>
                                                      <w:divBdr>
                                                        <w:top w:val="none" w:sz="0" w:space="0" w:color="auto"/>
                                                        <w:left w:val="none" w:sz="0" w:space="0" w:color="auto"/>
                                                        <w:bottom w:val="none" w:sz="0" w:space="0" w:color="auto"/>
                                                        <w:right w:val="none" w:sz="0" w:space="0" w:color="auto"/>
                                                      </w:divBdr>
                                                      <w:divsChild>
                                                        <w:div w:id="932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824731">
      <w:bodyDiv w:val="1"/>
      <w:marLeft w:val="0"/>
      <w:marRight w:val="0"/>
      <w:marTop w:val="0"/>
      <w:marBottom w:val="0"/>
      <w:divBdr>
        <w:top w:val="none" w:sz="0" w:space="0" w:color="auto"/>
        <w:left w:val="none" w:sz="0" w:space="0" w:color="auto"/>
        <w:bottom w:val="none" w:sz="0" w:space="0" w:color="auto"/>
        <w:right w:val="none" w:sz="0" w:space="0" w:color="auto"/>
      </w:divBdr>
    </w:div>
    <w:div w:id="12115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63BBA464C224C98B8507EF1C8368B" ma:contentTypeVersion="17" ma:contentTypeDescription="Create a new document." ma:contentTypeScope="" ma:versionID="d636154783795a44e273ae3d81fea62e">
  <xsd:schema xmlns:xsd="http://www.w3.org/2001/XMLSchema" xmlns:xs="http://www.w3.org/2001/XMLSchema" xmlns:p="http://schemas.microsoft.com/office/2006/metadata/properties" xmlns:ns2="480a14cf-c5d7-4117-8f6d-10729ed0aa34" xmlns:ns3="8cbade2f-2fcd-4f61-8c74-91add742a4cc" targetNamespace="http://schemas.microsoft.com/office/2006/metadata/properties" ma:root="true" ma:fieldsID="a5c6a30ab59dae68c304c50bbc12d068" ns2:_="" ns3:_="">
    <xsd:import namespace="480a14cf-c5d7-4117-8f6d-10729ed0aa34"/>
    <xsd:import namespace="8cbade2f-2fcd-4f61-8c74-91add742a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a14cf-c5d7-4117-8f6d-10729ed0a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fbbae-0715-4f68-a23c-05509d7299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ade2f-2fcd-4f61-8c74-91add742a4cc"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e0763ee9-03de-47e5-b43e-fafdf2443270}" ma:internalName="TaxCatchAll" ma:showField="CatchAllData" ma:web="8cbade2f-2fcd-4f61-8c74-91add742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bade2f-2fcd-4f61-8c74-91add742a4cc" xsi:nil="true"/>
    <lcf76f155ced4ddcb4097134ff3c332f xmlns="480a14cf-c5d7-4117-8f6d-10729ed0aa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CCD18E-34BF-4BD6-AFE0-EF06B74ADDCF}">
  <ds:schemaRefs>
    <ds:schemaRef ds:uri="http://schemas.microsoft.com/sharepoint/v3/contenttype/forms"/>
  </ds:schemaRefs>
</ds:datastoreItem>
</file>

<file path=customXml/itemProps2.xml><?xml version="1.0" encoding="utf-8"?>
<ds:datastoreItem xmlns:ds="http://schemas.openxmlformats.org/officeDocument/2006/customXml" ds:itemID="{1300E37F-1266-4989-9246-937E24AD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a14cf-c5d7-4117-8f6d-10729ed0aa34"/>
    <ds:schemaRef ds:uri="8cbade2f-2fcd-4f61-8c74-91add742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46E6E-28ED-47F1-BF10-017F652C146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0bdaf2f-72a2-4028-a768-530295e2f9c1"/>
    <ds:schemaRef ds:uri="http://www.w3.org/XML/1998/namespace"/>
    <ds:schemaRef ds:uri="http://schemas.microsoft.com/office/infopath/2007/PartnerControls"/>
    <ds:schemaRef ds:uri="http://purl.org/dc/terms/"/>
    <ds:schemaRef ds:uri="http://purl.org/dc/dcmitype/"/>
    <ds:schemaRef ds:uri="8cbade2f-2fcd-4f61-8c74-91add742a4cc"/>
    <ds:schemaRef ds:uri="480a14cf-c5d7-4117-8f6d-10729ed0aa3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Sharon Nash</cp:lastModifiedBy>
  <cp:revision>2</cp:revision>
  <cp:lastPrinted>2018-09-17T09:41:00Z</cp:lastPrinted>
  <dcterms:created xsi:type="dcterms:W3CDTF">2022-09-07T11:22:00Z</dcterms:created>
  <dcterms:modified xsi:type="dcterms:W3CDTF">2022-09-07T11:22:00Z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0x01010068D63BBA464C224C98B8507EF1C8368B</vt:lpwstr>
  </property>
  <property fmtid="{D5CDD505-2E9C-101B-9397-08002B2CF9AE}" pid="3" name="MediaServiceImageTags">
    <vt:lpwstr/>
  </property>
</Properties>
</file>